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
	<Relationship Id="rId1" Type="http://schemas.openxmlformats.org/officeDocument/2006/relationships/officeDocument" Target="word/document.xml"/>
	<Relationship Id="rId2" Type="http://schemas.openxmlformats.org/package/2006/relationships/metadata/core-properties" Target="docProps/core.xml"/>
	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РФ от 18.02.2022 N 206</w:t>
              <w:br/>
              <w:t xml:space="preserve">(ред. от 01.09.2023)</w:t>
              <w:br/>
              <w:t xml:space="preserve">"О мерах государственного регулирования потребления и обращения веществ, разрушающих озоновый слой"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06.04.2026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ПРАВИТЕЛЬСТВО 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18 февраля 2022 г. N 206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МЕРАХ</w:t>
      </w:r>
    </w:p>
    <w:p>
      <w:pPr>
        <w:pStyle w:val="2"/>
        <w:jc w:val="center"/>
      </w:pPr>
      <w:r>
        <w:rPr>
          <w:sz w:val="24"/>
        </w:rPr>
        <w:t xml:space="preserve">ГОСУДАРСТВЕННОГО РЕГУЛИРОВАНИЯ ПОТРЕБЛЕНИЯ И ОБРАЩЕНИЯ</w:t>
      </w:r>
    </w:p>
    <w:p>
      <w:pPr>
        <w:pStyle w:val="2"/>
        <w:jc w:val="center"/>
      </w:pPr>
      <w:r>
        <w:rPr>
          <w:sz w:val="24"/>
        </w:rPr>
        <w:t xml:space="preserve">ВЕЩЕСТВ, РАЗРУШАЮЩИХ ОЗОНОВЫЙ СЛОЙ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r>
              <w:rPr>
                <w:sz w:val="24"/>
                <w:color w:val="392c69"/>
              </w:rPr>
              <w:t xml:space="preserve">Постановления</w:t>
            </w:r>
            <w:r>
              <w:rPr>
                <w:sz w:val="24"/>
                <w:color w:val="392c69"/>
              </w:rPr>
              <w:t xml:space="preserve"> Правительства РФ от 01.09.2023 N 1423)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right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целях реализации </w:t>
      </w:r>
      <w:r>
        <w:rPr>
          <w:sz w:val="24"/>
        </w:rPr>
        <w:t xml:space="preserve">статей 54</w:t>
      </w:r>
      <w:r>
        <w:rPr>
          <w:sz w:val="24"/>
        </w:rPr>
        <w:t xml:space="preserve"> и </w:t>
      </w:r>
      <w:r>
        <w:rPr>
          <w:sz w:val="24"/>
        </w:rPr>
        <w:t xml:space="preserve">69.1</w:t>
      </w:r>
      <w:r>
        <w:rPr>
          <w:sz w:val="24"/>
        </w:rPr>
        <w:t xml:space="preserve"> Федерального закона "Об охране окружающей среды" Правительство Российской Федерации постановляет: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 Утвердить прилагаемый </w:t>
      </w:r>
      <w:hyperlink w:history="0" w:anchor="P84" w:tooltip="ПЕРЕЧЕНЬ">
        <w:r>
          <w:rPr>
            <w:sz w:val="24"/>
            <w:color w:val="0000ff"/>
          </w:rPr>
          <w:t xml:space="preserve">перечень</w:t>
        </w:r>
      </w:hyperlink>
      <w:r>
        <w:rPr>
          <w:sz w:val="24"/>
        </w:rPr>
        <w:t xml:space="preserve"> веществ, разрушающих озоновый слой, обращение которых подлежит государственному регулированию.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Установить, что: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а) потребление веществ, разрушающих озоновый слой, обращение которых подлежит государственному регулированию (далее - озоноразрушающие вещества), в Российской Федерации осуществляется в объемах, определенных международными договорами Российской Федерации;</w:t>
      </w:r>
    </w:p>
    <w:bookmarkStart w:id="16" w:name="P16"/>
    <w:bookmarkEnd w:id="16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б) допустимый объем потребления озоноразрушающих веществ в Российской Федерации, указанных в </w:t>
      </w:r>
      <w:hyperlink w:history="0" w:anchor="P180" w:tooltip="Группа I">
        <w:r>
          <w:rPr>
            <w:sz w:val="24"/>
            <w:color w:val="0000ff"/>
          </w:rPr>
          <w:t xml:space="preserve">группе I списка C</w:t>
        </w:r>
      </w:hyperlink>
      <w:r>
        <w:rPr>
          <w:sz w:val="24"/>
        </w:rPr>
        <w:t xml:space="preserve"> перечня, утвержденного настоящим постановлением, определенный в соответствии с </w:t>
      </w:r>
      <w:r>
        <w:rPr>
          <w:sz w:val="24"/>
        </w:rPr>
        <w:t xml:space="preserve">подпунктом "i" пункта "a" статьи 3</w:t>
      </w:r>
      <w:r>
        <w:rPr>
          <w:sz w:val="24"/>
        </w:rPr>
        <w:t xml:space="preserve"> Монреальского протокола по веществам, разрушающим озоновый слой, от 16 сентября 1987 г., не должен превышать в 2022 - 2029 годах 19,98 тонны озоноразрушающей способности ежегодно;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в) с 2030 года потребление озоноразрушающих веществ, указанных в </w:t>
      </w:r>
      <w:hyperlink w:history="0" w:anchor="P180" w:tooltip="Группа I">
        <w:r>
          <w:rPr>
            <w:sz w:val="24"/>
            <w:color w:val="0000ff"/>
          </w:rPr>
          <w:t xml:space="preserve">группе I списка C</w:t>
        </w:r>
      </w:hyperlink>
      <w:r>
        <w:rPr>
          <w:sz w:val="24"/>
        </w:rPr>
        <w:t xml:space="preserve"> перечня, утвержденного настоящим постановлением, осуществляется в объемах, определенных международными договорами Российской Федерации;</w:t>
      </w:r>
    </w:p>
    <w:bookmarkStart w:id="18" w:name="P18"/>
    <w:bookmarkEnd w:id="18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г) расчет </w:t>
      </w:r>
      <w:r>
        <w:rPr>
          <w:sz w:val="24"/>
        </w:rPr>
        <w:t xml:space="preserve">количества</w:t>
      </w:r>
      <w:r>
        <w:rPr>
          <w:sz w:val="24"/>
        </w:rPr>
        <w:t xml:space="preserve"> конкретных озоноразрушающих веществ в допустимом объеме потребления озоноразрушающих веществ в Российской Федерации, установленном в соответствии с </w:t>
      </w:r>
      <w:hyperlink w:history="0" w:anchor="P16" w:tooltip="б) допустимый объем потребления озоноразрушающих веществ в Российской Федерации, указанных в группе I списка C перечня, утвержденного настоящим постановлением, определенный в соответствии с подпунктом &quot;i&quot; пункта &quot;a&quot; статьи 3 Монреальского протокола по веществам, разрушающим озоновый слой, от 16 сентября 1987 г., не должен превышать в 2022 - 2029 годах 19,98 тонны озоноразрушающей способности ежегодно;">
        <w:r>
          <w:rPr>
            <w:sz w:val="24"/>
            <w:color w:val="0000ff"/>
          </w:rPr>
          <w:t xml:space="preserve">подпунктом "б"</w:t>
        </w:r>
      </w:hyperlink>
      <w:r>
        <w:rPr>
          <w:sz w:val="24"/>
        </w:rPr>
        <w:t xml:space="preserve"> настоящего пункта, осуществляется ежегодно Министерством природных ресурсов и экологии Российской Федерации с учетом количества производимых в Российской Федерации и ввозимых в Российскую Федерацию озоноразрушающих веществ;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д) допустимый </w:t>
      </w:r>
      <w:r>
        <w:rPr>
          <w:sz w:val="24"/>
        </w:rPr>
        <w:t xml:space="preserve">объем</w:t>
      </w:r>
      <w:r>
        <w:rPr>
          <w:sz w:val="24"/>
        </w:rPr>
        <w:t xml:space="preserve"> производства озоноразрушающих веществ в Российской Федерации устанавливается ежегодно с учетом допустимого объема их потребления в Российской Федерации;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е) производство озоноразрушающих веществ, указанных в </w:t>
      </w:r>
      <w:hyperlink w:history="0" w:anchor="P180" w:tooltip="Группа I">
        <w:r>
          <w:rPr>
            <w:sz w:val="24"/>
            <w:color w:val="0000ff"/>
          </w:rPr>
          <w:t xml:space="preserve">группах I</w:t>
        </w:r>
      </w:hyperlink>
      <w:r>
        <w:rPr>
          <w:sz w:val="24"/>
        </w:rPr>
        <w:t xml:space="preserve"> и </w:t>
      </w:r>
      <w:hyperlink w:history="0" w:anchor="P479" w:tooltip="Группа III">
        <w:r>
          <w:rPr>
            <w:sz w:val="24"/>
            <w:color w:val="0000ff"/>
          </w:rPr>
          <w:t xml:space="preserve">III списка C</w:t>
        </w:r>
      </w:hyperlink>
      <w:r>
        <w:rPr>
          <w:sz w:val="24"/>
        </w:rPr>
        <w:t xml:space="preserve"> и в </w:t>
      </w:r>
      <w:hyperlink w:history="0" w:anchor="P484" w:tooltip="IV. Список E">
        <w:r>
          <w:rPr>
            <w:sz w:val="24"/>
            <w:color w:val="0000ff"/>
          </w:rPr>
          <w:t xml:space="preserve">списке E</w:t>
        </w:r>
      </w:hyperlink>
      <w:r>
        <w:rPr>
          <w:sz w:val="24"/>
        </w:rPr>
        <w:t xml:space="preserve"> перечня, утвержденного настоящим постановлением, осуществляется в случае их использования исключительно в качестве сырья для производства других химических веществ, а также в случаях, предусмотренных международными договорами Российской Федерации, в допустимом объеме производства озоноразрушающих веществ в Российской Федерации;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ж) ввоз в Российскую Федерацию озоноразрушающих веществ осуществляется с учетом устанавливаемых допустимых объемов их потребления в Российской Федерации и количественных ограничений, ежегодно устанавливаемых в соответствии с правом Евразийского экономического союза, за исключением случаев, когда эти вещества ввезены в Российскую Федерацию для обеспечения основных видов применения озоноразрушающих веществ, определенных в соответствии с международными договорами Российской Федерации;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КонсультантПлюс: примечание.</w:t>
            </w:r>
          </w:p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Пп. "з" п. 2 </w:t>
            </w:r>
            <w:hyperlink w:history="0" w:anchor="P68" w:tooltip="12. Подпункты &quot;з&quot; - &quot;к&quot; пункта 2 настоящего постановления действуют 6 лет.">
              <w:r>
                <w:rPr>
                  <w:sz w:val="24"/>
                  <w:color w:val="0000ff"/>
                </w:rPr>
                <w:t xml:space="preserve">действует</w:t>
              </w:r>
            </w:hyperlink>
            <w:r>
              <w:rPr>
                <w:sz w:val="24"/>
                <w:color w:val="392c69"/>
              </w:rPr>
              <w:t xml:space="preserve"> до 22.02.2028.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bookmarkStart w:id="24" w:name="P24"/>
    <w:bookmarkEnd w:id="24"/>
    <w:p>
      <w:pPr>
        <w:pStyle w:val="0"/>
        <w:spacing w:before="300" w:line-rule="auto"/>
        <w:ind w:firstLine="540"/>
        <w:jc w:val="both"/>
      </w:pPr>
      <w:r>
        <w:rPr>
          <w:sz w:val="24"/>
        </w:rPr>
        <w:t xml:space="preserve">з) запрещается проектирование объектов хозяйственной и иной деятельности, осуществляющих производство озоноразрушающих веществ и содержащей их продукции, за исключением веществ, включенных в </w:t>
      </w:r>
      <w:hyperlink w:history="0" w:anchor="P490" w:tooltip="V. Список F">
        <w:r>
          <w:rPr>
            <w:sz w:val="24"/>
            <w:color w:val="0000ff"/>
          </w:rPr>
          <w:t xml:space="preserve">список F</w:t>
        </w:r>
      </w:hyperlink>
      <w:r>
        <w:rPr>
          <w:sz w:val="24"/>
        </w:rPr>
        <w:t xml:space="preserve"> перечня, утвержденного настоящим постановлением (далее - регулируемые вещества списка F);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01.09.2023 N 1423)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КонсультантПлюс: примечание.</w:t>
            </w:r>
          </w:p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Пп. "и" п. 2 </w:t>
            </w:r>
            <w:hyperlink w:history="0" w:anchor="P68" w:tooltip="12. Подпункты &quot;з&quot; - &quot;к&quot; пункта 2 настоящего постановления действуют 6 лет.">
              <w:r>
                <w:rPr>
                  <w:sz w:val="24"/>
                  <w:color w:val="0000ff"/>
                </w:rPr>
                <w:t xml:space="preserve">действует</w:t>
              </w:r>
            </w:hyperlink>
            <w:r>
              <w:rPr>
                <w:sz w:val="24"/>
                <w:color w:val="392c69"/>
              </w:rPr>
              <w:t xml:space="preserve"> до 22.02.2028.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300" w:line-rule="auto"/>
        <w:ind w:firstLine="540"/>
        <w:jc w:val="both"/>
      </w:pPr>
      <w:r>
        <w:rPr>
          <w:sz w:val="24"/>
        </w:rPr>
        <w:t xml:space="preserve">и) запрещается строительство объектов хозяйственной и иной деятельности, осуществляющих производство озоноразрушающих веществ и содержащей их продукции, за исключением регулируемых веществ </w:t>
      </w:r>
      <w:hyperlink w:history="0" w:anchor="P490" w:tooltip="V. Список F">
        <w:r>
          <w:rPr>
            <w:sz w:val="24"/>
            <w:color w:val="0000ff"/>
          </w:rPr>
          <w:t xml:space="preserve">списка F</w:t>
        </w:r>
      </w:hyperlink>
      <w:r>
        <w:rPr>
          <w:sz w:val="24"/>
        </w:rPr>
        <w:t xml:space="preserve">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01.09.2023 N 1423)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КонсультантПлюс: примечание.</w:t>
            </w:r>
          </w:p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Пп. "к" п. 2 </w:t>
            </w:r>
            <w:hyperlink w:history="0" w:anchor="P68" w:tooltip="12. Подпункты &quot;з&quot; - &quot;к&quot; пункта 2 настоящего постановления действуют 6 лет.">
              <w:r>
                <w:rPr>
                  <w:sz w:val="24"/>
                  <w:color w:val="0000ff"/>
                </w:rPr>
                <w:t xml:space="preserve">действует</w:t>
              </w:r>
            </w:hyperlink>
            <w:r>
              <w:rPr>
                <w:sz w:val="24"/>
                <w:color w:val="392c69"/>
              </w:rPr>
              <w:t xml:space="preserve"> до 22.02.2028.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bookmarkStart w:id="32" w:name="P32"/>
    <w:bookmarkEnd w:id="32"/>
    <w:p>
      <w:pPr>
        <w:pStyle w:val="0"/>
        <w:spacing w:before="300" w:line-rule="auto"/>
        <w:ind w:firstLine="540"/>
        <w:jc w:val="both"/>
      </w:pPr>
      <w:r>
        <w:rPr>
          <w:sz w:val="24"/>
        </w:rPr>
        <w:t xml:space="preserve">к) обращение озоноразрушающих веществ допускается только в таре многократного использования, за исключением обращения озоноразрушающих веществ в таре объемом менее 3 литров для лабораторных и аналитических видов использования, определенным международными договорами Российской Федерации;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л) потребление регулируемых веществ </w:t>
      </w:r>
      <w:hyperlink w:history="0" w:anchor="P490" w:tooltip="V. Список F">
        <w:r>
          <w:rPr>
            <w:sz w:val="24"/>
            <w:color w:val="0000ff"/>
          </w:rPr>
          <w:t xml:space="preserve">списка F</w:t>
        </w:r>
      </w:hyperlink>
      <w:r>
        <w:rPr>
          <w:sz w:val="24"/>
        </w:rPr>
        <w:t xml:space="preserve"> осуществляется в объемах, определенных международными договорами Российской Федерации.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01.09.2023 N 1423)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Регулируемое вещество </w:t>
      </w:r>
      <w:hyperlink w:history="0" w:anchor="P490" w:tooltip="V. Список F">
        <w:r>
          <w:rPr>
            <w:sz w:val="24"/>
            <w:color w:val="0000ff"/>
          </w:rPr>
          <w:t xml:space="preserve">списка F</w:t>
        </w:r>
      </w:hyperlink>
      <w:r>
        <w:rPr>
          <w:sz w:val="24"/>
        </w:rPr>
        <w:t xml:space="preserve"> означает любое вещество, указанное в </w:t>
      </w:r>
      <w:hyperlink w:history="0" w:anchor="P490" w:tooltip="V. Список F">
        <w:r>
          <w:rPr>
            <w:sz w:val="24"/>
            <w:color w:val="0000ff"/>
          </w:rPr>
          <w:t xml:space="preserve">списке F</w:t>
        </w:r>
      </w:hyperlink>
      <w:r>
        <w:rPr>
          <w:sz w:val="24"/>
        </w:rPr>
        <w:t xml:space="preserve"> перечня, утвержденного настоящим постановлением, которое существует самостоятельно или в смеси, включая изомеры регулируемых веществ </w:t>
      </w:r>
      <w:hyperlink w:history="0" w:anchor="P490" w:tooltip="V. Список F">
        <w:r>
          <w:rPr>
            <w:sz w:val="24"/>
            <w:color w:val="0000ff"/>
          </w:rPr>
          <w:t xml:space="preserve">списка F</w:t>
        </w:r>
      </w:hyperlink>
      <w:r>
        <w:rPr>
          <w:sz w:val="24"/>
        </w:rPr>
        <w:t xml:space="preserve">, и не является составной частью готового продукта, имеющего иную форму, чем емкость, используемая для транспортирования или хранения.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Государственное регулирование не распространяется на готовые продукты, имеющие иную форму, чем емкость, используемая для транспортирования или хранения, в состав которых входят регулируемые вещества </w:t>
      </w:r>
      <w:hyperlink w:history="0" w:anchor="P490" w:tooltip="V. Список F">
        <w:r>
          <w:rPr>
            <w:sz w:val="24"/>
            <w:color w:val="0000ff"/>
          </w:rPr>
          <w:t xml:space="preserve">списка F</w:t>
        </w:r>
      </w:hyperlink>
      <w:r>
        <w:rPr>
          <w:sz w:val="24"/>
        </w:rPr>
        <w:t xml:space="preserve"> или их смеси, включая изомеры регулируемых веществ </w:t>
      </w:r>
      <w:hyperlink w:history="0" w:anchor="P490" w:tooltip="V. Список F">
        <w:r>
          <w:rPr>
            <w:sz w:val="24"/>
            <w:color w:val="0000ff"/>
          </w:rPr>
          <w:t xml:space="preserve">списка F</w:t>
        </w:r>
      </w:hyperlink>
      <w:r>
        <w:rPr>
          <w:sz w:val="24"/>
        </w:rPr>
        <w:t xml:space="preserve">;</w:t>
      </w:r>
    </w:p>
    <w:bookmarkStart w:id="37" w:name="P37"/>
    <w:bookmarkEnd w:id="37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м) допустимый объем потребления в Российской Федерации регулируемых веществ </w:t>
      </w:r>
      <w:hyperlink w:history="0" w:anchor="P490" w:tooltip="V. Список F">
        <w:r>
          <w:rPr>
            <w:sz w:val="24"/>
            <w:color w:val="0000ff"/>
          </w:rPr>
          <w:t xml:space="preserve">списка F</w:t>
        </w:r>
      </w:hyperlink>
      <w:r>
        <w:rPr>
          <w:sz w:val="24"/>
        </w:rPr>
        <w:t xml:space="preserve">, определенный в соответствии с </w:t>
      </w:r>
      <w:r>
        <w:rPr>
          <w:sz w:val="24"/>
        </w:rPr>
        <w:t xml:space="preserve">пунктом 2 статьи 2J</w:t>
      </w:r>
      <w:r>
        <w:rPr>
          <w:sz w:val="24"/>
        </w:rPr>
        <w:t xml:space="preserve"> поправки к Монреальскому протоколу по веществам, разрушающим озоновый слой, принятой на двадцать восьмом совещании Сторон Монреальского протокола (г. Кигали, Руанда, 15 октября 2016 г.), обращение которых подлежит государственному регулированию, выраженный в эквиваленте CO</w:t>
      </w:r>
      <w:r>
        <w:rPr>
          <w:sz w:val="24"/>
          <w:vertAlign w:val="subscript"/>
        </w:rPr>
        <w:t xml:space="preserve">2</w:t>
      </w:r>
      <w:r>
        <w:rPr>
          <w:sz w:val="24"/>
        </w:rPr>
        <w:t xml:space="preserve">, не должен превышать в 2022 - 2024 годах 46292794 тонны эквивалента CO</w:t>
      </w:r>
      <w:r>
        <w:rPr>
          <w:sz w:val="24"/>
          <w:vertAlign w:val="subscript"/>
        </w:rPr>
        <w:t xml:space="preserve">2</w:t>
      </w:r>
      <w:r>
        <w:rPr>
          <w:sz w:val="24"/>
        </w:rPr>
        <w:t xml:space="preserve"> ежегодно, в 2025 - 2028 годах 31674017 тонн эквивалента CO</w:t>
      </w:r>
      <w:r>
        <w:rPr>
          <w:sz w:val="24"/>
          <w:vertAlign w:val="subscript"/>
        </w:rPr>
        <w:t xml:space="preserve">2</w:t>
      </w:r>
      <w:r>
        <w:rPr>
          <w:sz w:val="24"/>
        </w:rPr>
        <w:t xml:space="preserve"> ежегодно, в 2029 - 2033 годах 14618777 тонн эквивалента CO</w:t>
      </w:r>
      <w:r>
        <w:rPr>
          <w:sz w:val="24"/>
          <w:vertAlign w:val="subscript"/>
        </w:rPr>
        <w:t xml:space="preserve">2</w:t>
      </w:r>
      <w:r>
        <w:rPr>
          <w:sz w:val="24"/>
        </w:rPr>
        <w:t xml:space="preserve"> ежегодно, в 2034 - 2035 годах 9745851 тонну эквивалента CO</w:t>
      </w:r>
      <w:r>
        <w:rPr>
          <w:sz w:val="24"/>
          <w:vertAlign w:val="subscript"/>
        </w:rPr>
        <w:t xml:space="preserve">2</w:t>
      </w:r>
      <w:r>
        <w:rPr>
          <w:sz w:val="24"/>
        </w:rPr>
        <w:t xml:space="preserve"> ежегодно, в 2036 году 7309389 тонн эквивалента CO</w:t>
      </w:r>
      <w:r>
        <w:rPr>
          <w:sz w:val="24"/>
          <w:vertAlign w:val="subscript"/>
        </w:rPr>
        <w:t xml:space="preserve">2</w:t>
      </w:r>
      <w:r>
        <w:rPr>
          <w:sz w:val="24"/>
        </w:rPr>
        <w:t xml:space="preserve">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01.09.2023 N 1423)</w:t>
      </w:r>
    </w:p>
    <w:bookmarkStart w:id="39" w:name="P39"/>
    <w:bookmarkEnd w:id="39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н) с 2037 года потребление регулируемых веществ </w:t>
      </w:r>
      <w:hyperlink w:history="0" w:anchor="P490" w:tooltip="V. Список F">
        <w:r>
          <w:rPr>
            <w:sz w:val="24"/>
            <w:color w:val="0000ff"/>
          </w:rPr>
          <w:t xml:space="preserve">списка F</w:t>
        </w:r>
      </w:hyperlink>
      <w:r>
        <w:rPr>
          <w:sz w:val="24"/>
        </w:rPr>
        <w:t xml:space="preserve"> осуществляется в объеме, не превышающем 7309389 тонн эквивалента CO</w:t>
      </w:r>
      <w:r>
        <w:rPr>
          <w:sz w:val="24"/>
          <w:vertAlign w:val="subscript"/>
        </w:rPr>
        <w:t xml:space="preserve">2</w:t>
      </w:r>
      <w:r>
        <w:rPr>
          <w:sz w:val="24"/>
        </w:rPr>
        <w:t xml:space="preserve">, если иное не будет определено международными договорами Российской Федерации;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о) с 1 января 2022 г. допустимый объем производства регулируемых веществ </w:t>
      </w:r>
      <w:hyperlink w:history="0" w:anchor="P490" w:tooltip="V. Список F">
        <w:r>
          <w:rPr>
            <w:sz w:val="24"/>
            <w:color w:val="0000ff"/>
          </w:rPr>
          <w:t xml:space="preserve">списка F</w:t>
        </w:r>
      </w:hyperlink>
      <w:r>
        <w:rPr>
          <w:sz w:val="24"/>
        </w:rPr>
        <w:t xml:space="preserve"> в Российской Федерации устанавливается ежегодно с учетом допустимого объема их потребления в Российской Федерации;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п) с 1 января 2022 г. ввоз в Российскую Федерацию регулируемых веществ </w:t>
      </w:r>
      <w:hyperlink w:history="0" w:anchor="P490" w:tooltip="V. Список F">
        <w:r>
          <w:rPr>
            <w:sz w:val="24"/>
            <w:color w:val="0000ff"/>
          </w:rPr>
          <w:t xml:space="preserve">списка F</w:t>
        </w:r>
      </w:hyperlink>
      <w:r>
        <w:rPr>
          <w:sz w:val="24"/>
        </w:rPr>
        <w:t xml:space="preserve"> осуществляется с учетом устанавливаемых допустимых объемов их потребления в Российской Федерации в соответствии с </w:t>
      </w:r>
      <w:hyperlink w:history="0" w:anchor="P37" w:tooltip="м) допустимый объем потребления в Российской Федерации регулируемых веществ списка F, определенный в соответствии с пунктом 2 статьи 2J поправки к Монреальскому протоколу по веществам, разрушающим озоновый слой, принятой на двадцать восьмом совещании Сторон Монреальского протокола (г. Кигали, Руанда, 15 октября 2016 г.), обращение которых подлежит государственному регулированию, выраженный в эквиваленте CO2, не должен превышать в 2022 - 2024 годах 46292794 тонны эквивалента CO2 ежегодно, в 2025 - 2028 го...">
        <w:r>
          <w:rPr>
            <w:sz w:val="24"/>
            <w:color w:val="0000ff"/>
          </w:rPr>
          <w:t xml:space="preserve">подпунктами "м"</w:t>
        </w:r>
      </w:hyperlink>
      <w:r>
        <w:rPr>
          <w:sz w:val="24"/>
        </w:rPr>
        <w:t xml:space="preserve"> и </w:t>
      </w:r>
      <w:hyperlink w:history="0" w:anchor="P39" w:tooltip="н) с 2037 года потребление регулируемых веществ списка F осуществляется в объеме, не превышающем 7309389 тонн эквивалента CO2, если иное не будет определено международными договорами Российской Федерации;">
        <w:r>
          <w:rPr>
            <w:sz w:val="24"/>
            <w:color w:val="0000ff"/>
          </w:rPr>
          <w:t xml:space="preserve">"н"</w:t>
        </w:r>
      </w:hyperlink>
      <w:r>
        <w:rPr>
          <w:sz w:val="24"/>
        </w:rPr>
        <w:t xml:space="preserve"> настоящего пункта.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Установить, что Министерство природных ресурсов и экологии Российской Федерации осуществляет: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а) ежегодный расчет допустимого </w:t>
      </w:r>
      <w:r>
        <w:rPr>
          <w:sz w:val="24"/>
        </w:rPr>
        <w:t xml:space="preserve">объема</w:t>
      </w:r>
      <w:r>
        <w:rPr>
          <w:sz w:val="24"/>
        </w:rPr>
        <w:t xml:space="preserve"> производства озоноразрушающих веществ в Российской Федерации, за исключением регулируемых веществ </w:t>
      </w:r>
      <w:hyperlink w:history="0" w:anchor="P490" w:tooltip="V. Список F">
        <w:r>
          <w:rPr>
            <w:sz w:val="24"/>
            <w:color w:val="0000ff"/>
          </w:rPr>
          <w:t xml:space="preserve">списка F</w:t>
        </w:r>
      </w:hyperlink>
      <w:r>
        <w:rPr>
          <w:sz w:val="24"/>
        </w:rPr>
        <w:t xml:space="preserve">, на основании предложений, полученных от Министерства промышленности и торговли Российской Федерации, в соответствии с порядком, указанным в </w:t>
      </w:r>
      <w:hyperlink w:history="0" w:anchor="P49" w:tooltip="а) разработать и утвердить в месячный срок по согласованию с Министерством промышленности и торговли Российской Федерации, Министерством экономического развития Российской Федерации и Федеральной антимонопольной службой порядок ежегодного расчета допустимого объема производства озоноразрушающих веществ в Российской Федерации и ежегодного расчета количества конкретных озоноразрушающих веществ в допустимом объеме потребления озоноразрушающих веществ в Российской Федерации, за исключением регулируемых вещес...">
        <w:r>
          <w:rPr>
            <w:sz w:val="24"/>
            <w:color w:val="0000ff"/>
          </w:rPr>
          <w:t xml:space="preserve">подпункте "а" пункта 4</w:t>
        </w:r>
      </w:hyperlink>
      <w:r>
        <w:rPr>
          <w:sz w:val="24"/>
        </w:rPr>
        <w:t xml:space="preserve"> настоящего постановления;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б) ежегодный расчет </w:t>
      </w:r>
      <w:r>
        <w:rPr>
          <w:sz w:val="24"/>
        </w:rPr>
        <w:t xml:space="preserve">количества</w:t>
      </w:r>
      <w:r>
        <w:rPr>
          <w:sz w:val="24"/>
        </w:rPr>
        <w:t xml:space="preserve"> конкретных озоноразрушающих веществ в допустимом объеме потребления озоноразрушающих веществ в Российской Федерации, за исключением регулируемых веществ </w:t>
      </w:r>
      <w:hyperlink w:history="0" w:anchor="P490" w:tooltip="V. Список F">
        <w:r>
          <w:rPr>
            <w:sz w:val="24"/>
            <w:color w:val="0000ff"/>
          </w:rPr>
          <w:t xml:space="preserve">списка F</w:t>
        </w:r>
      </w:hyperlink>
      <w:r>
        <w:rPr>
          <w:sz w:val="24"/>
        </w:rPr>
        <w:t xml:space="preserve">, с учетом информации о потребностях в озоноразрушающих веществах, поступившей от юридических лиц, индивидуальных предпринимателей, осуществляющих и планирующих осуществлять ввоз в Российскую Федерацию озоноразрушающих веществ, производство которых на территории Российской Федерации отсутствует;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в) государственный учет обращения озоноразрушающих веществ;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г) ежегодный расчет допустимого </w:t>
      </w:r>
      <w:r>
        <w:rPr>
          <w:sz w:val="24"/>
        </w:rPr>
        <w:t xml:space="preserve">объема</w:t>
      </w:r>
      <w:r>
        <w:rPr>
          <w:sz w:val="24"/>
        </w:rPr>
        <w:t xml:space="preserve"> производства в Российской Федерации регулируемых веществ </w:t>
      </w:r>
      <w:hyperlink w:history="0" w:anchor="P490" w:tooltip="V. Список F">
        <w:r>
          <w:rPr>
            <w:sz w:val="24"/>
            <w:color w:val="0000ff"/>
          </w:rPr>
          <w:t xml:space="preserve">списка F</w:t>
        </w:r>
      </w:hyperlink>
      <w:r>
        <w:rPr>
          <w:sz w:val="24"/>
        </w:rPr>
        <w:t xml:space="preserve"> на основании предложений, полученных от Министерства промышленности и торговли Российской Федерации, в соответствии с порядком, указанным в </w:t>
      </w:r>
      <w:hyperlink w:history="0" w:anchor="P50" w:tooltip="б) разработать и утвердить в месячный срок по согласованию с Министерством промышленности и торговли Российской Федерации, Министерством экономического развития Российской Федерации, Федеральной таможенной службой, Федеральной службой по надзору в сфере природопользования и Федеральной антимонопольной службой порядок ежегодного расчета допустимого объема производства в Российской Федерации регулируемых веществ списка F и ежегодного расчета объема регулируемых веществ списка F, планируемого к ввозу в Росс...">
        <w:r>
          <w:rPr>
            <w:sz w:val="24"/>
            <w:color w:val="0000ff"/>
          </w:rPr>
          <w:t xml:space="preserve">подпункте "б" пункта 4</w:t>
        </w:r>
      </w:hyperlink>
      <w:r>
        <w:rPr>
          <w:sz w:val="24"/>
        </w:rPr>
        <w:t xml:space="preserve"> настоящего постановления;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д) ежегодный расчет </w:t>
      </w:r>
      <w:r>
        <w:rPr>
          <w:sz w:val="24"/>
        </w:rPr>
        <w:t xml:space="preserve">объема</w:t>
      </w:r>
      <w:r>
        <w:rPr>
          <w:sz w:val="24"/>
        </w:rPr>
        <w:t xml:space="preserve"> регулируемых веществ </w:t>
      </w:r>
      <w:hyperlink w:history="0" w:anchor="P490" w:tooltip="V. Список F">
        <w:r>
          <w:rPr>
            <w:sz w:val="24"/>
            <w:color w:val="0000ff"/>
          </w:rPr>
          <w:t xml:space="preserve">списка F</w:t>
        </w:r>
      </w:hyperlink>
      <w:r>
        <w:rPr>
          <w:sz w:val="24"/>
        </w:rPr>
        <w:t xml:space="preserve">, планируемого к ввозу в Российскую Федерацию, в допустимом объеме их потребления в Российской Федерации, с учетом информации о потребностях в регулируемых веществах </w:t>
      </w:r>
      <w:hyperlink w:history="0" w:anchor="P490" w:tooltip="V. Список F">
        <w:r>
          <w:rPr>
            <w:sz w:val="24"/>
            <w:color w:val="0000ff"/>
          </w:rPr>
          <w:t xml:space="preserve">списка F</w:t>
        </w:r>
      </w:hyperlink>
      <w:r>
        <w:rPr>
          <w:sz w:val="24"/>
        </w:rPr>
        <w:t xml:space="preserve"> на расчетный год и информации об объеме фактически ввезенных в Российскую Федерацию регулируемых веществ </w:t>
      </w:r>
      <w:hyperlink w:history="0" w:anchor="P490" w:tooltip="V. Список F">
        <w:r>
          <w:rPr>
            <w:sz w:val="24"/>
            <w:color w:val="0000ff"/>
          </w:rPr>
          <w:t xml:space="preserve">списка F</w:t>
        </w:r>
      </w:hyperlink>
      <w:r>
        <w:rPr>
          <w:sz w:val="24"/>
        </w:rPr>
        <w:t xml:space="preserve"> в предыдущем году, поступившей от юридических лиц, индивидуальных предпринимателей, осуществляющих и планирующих осуществлять ввоз в Российскую Федерацию регулируемых веществ </w:t>
      </w:r>
      <w:hyperlink w:history="0" w:anchor="P490" w:tooltip="V. Список F">
        <w:r>
          <w:rPr>
            <w:sz w:val="24"/>
            <w:color w:val="0000ff"/>
          </w:rPr>
          <w:t xml:space="preserve">списка F</w:t>
        </w:r>
      </w:hyperlink>
      <w:r>
        <w:rPr>
          <w:sz w:val="24"/>
        </w:rPr>
        <w:t xml:space="preserve">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Министерству природных ресурсов и экологии Российской Федерации:</w:t>
      </w:r>
    </w:p>
    <w:bookmarkStart w:id="49" w:name="P49"/>
    <w:bookmarkEnd w:id="49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а) разработать и утвердить в месячный срок по согласованию с Министерством промышленности и торговли Российской Федерации, Министерством экономического развития Российской Федерации и Федеральной антимонопольной службой </w:t>
      </w:r>
      <w:r>
        <w:rPr>
          <w:sz w:val="24"/>
        </w:rPr>
        <w:t xml:space="preserve">порядок</w:t>
      </w:r>
      <w:r>
        <w:rPr>
          <w:sz w:val="24"/>
        </w:rPr>
        <w:t xml:space="preserve"> ежегодного расчета допустимого объема производства озоноразрушающих веществ в Российской Федерации и ежегодного расчета количества конкретных озоноразрушающих веществ в допустимом объеме потребления озоноразрушающих веществ в Российской Федерации, за исключением регулируемых веществ </w:t>
      </w:r>
      <w:hyperlink w:history="0" w:anchor="P490" w:tooltip="V. Список F">
        <w:r>
          <w:rPr>
            <w:sz w:val="24"/>
            <w:color w:val="0000ff"/>
          </w:rPr>
          <w:t xml:space="preserve">списка F</w:t>
        </w:r>
      </w:hyperlink>
      <w:r>
        <w:rPr>
          <w:sz w:val="24"/>
        </w:rPr>
        <w:t xml:space="preserve">;</w:t>
      </w:r>
    </w:p>
    <w:bookmarkStart w:id="50" w:name="P50"/>
    <w:bookmarkEnd w:id="50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б) разработать и утвердить в месячный срок по согласованию с Министерством промышленности и торговли Российской Федерации, Министерством экономического развития Российской Федерации, Федеральной таможенной службой, Федеральной службой по надзору в сфере природопользования и Федеральной антимонопольной службой </w:t>
      </w:r>
      <w:r>
        <w:rPr>
          <w:sz w:val="24"/>
        </w:rPr>
        <w:t xml:space="preserve">порядок</w:t>
      </w:r>
      <w:r>
        <w:rPr>
          <w:sz w:val="24"/>
        </w:rPr>
        <w:t xml:space="preserve"> ежегодного расчета допустимого объема производства в Российской Федерации регулируемых веществ </w:t>
      </w:r>
      <w:hyperlink w:history="0" w:anchor="P490" w:tooltip="V. Список F">
        <w:r>
          <w:rPr>
            <w:sz w:val="24"/>
            <w:color w:val="0000ff"/>
          </w:rPr>
          <w:t xml:space="preserve">списка F</w:t>
        </w:r>
      </w:hyperlink>
      <w:r>
        <w:rPr>
          <w:sz w:val="24"/>
        </w:rPr>
        <w:t xml:space="preserve"> и ежегодного расчета объема регулируемых веществ </w:t>
      </w:r>
      <w:hyperlink w:history="0" w:anchor="P490" w:tooltip="V. Список F">
        <w:r>
          <w:rPr>
            <w:sz w:val="24"/>
            <w:color w:val="0000ff"/>
          </w:rPr>
          <w:t xml:space="preserve">списка F</w:t>
        </w:r>
      </w:hyperlink>
      <w:r>
        <w:rPr>
          <w:sz w:val="24"/>
        </w:rPr>
        <w:t xml:space="preserve">, планируемого к ввозу в Российскую Федерацию, в допустимом объеме их потребления в Российской Федерации;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в) вносить ежегодно, не позднее 1 декабря, в Правительство Российской Федерации в установленном порядке согласованный с федеральными органами исполнительной власти, указанными в подпункте "а" настоящего пункта, проект акта, устанавливающего количество конкретных озоноразрушающих веществ в допустимом объеме потребления озоноразрушающих веществ в Российской Федерации, за исключением регулируемых веществ </w:t>
      </w:r>
      <w:hyperlink w:history="0" w:anchor="P490" w:tooltip="V. Список F">
        <w:r>
          <w:rPr>
            <w:sz w:val="24"/>
            <w:color w:val="0000ff"/>
          </w:rPr>
          <w:t xml:space="preserve">списка F</w:t>
        </w:r>
      </w:hyperlink>
      <w:r>
        <w:rPr>
          <w:sz w:val="24"/>
        </w:rPr>
        <w:t xml:space="preserve">, на следующий календарный год, рассчитанном в соответствии с </w:t>
      </w:r>
      <w:hyperlink w:history="0" w:anchor="P18" w:tooltip="г) расчет количества конкретных озоноразрушающих веществ в допустимом объеме потребления озоноразрушающих веществ в Российской Федерации, установленном в соответствии с подпунктом &quot;б&quot; настоящего пункта, осуществляется ежегодно Министерством природных ресурсов и экологии Российской Федерации с учетом количества производимых в Российской Федерации и ввозимых в Российскую Федерацию озоноразрушающих веществ;">
        <w:r>
          <w:rPr>
            <w:sz w:val="24"/>
            <w:color w:val="0000ff"/>
          </w:rPr>
          <w:t xml:space="preserve">подпунктом "г" пункта 2</w:t>
        </w:r>
      </w:hyperlink>
      <w:r>
        <w:rPr>
          <w:sz w:val="24"/>
        </w:rPr>
        <w:t xml:space="preserve"> настоящего постановления, допустимый объем производства озоноразрушающих веществ в Российской Федерации, за исключением регулируемых веществ </w:t>
      </w:r>
      <w:hyperlink w:history="0" w:anchor="P490" w:tooltip="V. Список F">
        <w:r>
          <w:rPr>
            <w:sz w:val="24"/>
            <w:color w:val="0000ff"/>
          </w:rPr>
          <w:t xml:space="preserve">списка F</w:t>
        </w:r>
      </w:hyperlink>
      <w:r>
        <w:rPr>
          <w:sz w:val="24"/>
        </w:rPr>
        <w:t xml:space="preserve">, на следующий календарный год с указанием предприятий-производителей в Российской Федерации и объема озоноразрушающих веществ, который эти предприятия-производители могут произвести, а также списка юридических лиц и индивидуальных предпринимателей и объема озоноразрушающих веществ, за исключением регулируемых веществ </w:t>
      </w:r>
      <w:hyperlink w:history="0" w:anchor="P490" w:tooltip="V. Список F">
        <w:r>
          <w:rPr>
            <w:sz w:val="24"/>
            <w:color w:val="0000ff"/>
          </w:rPr>
          <w:t xml:space="preserve">списка F</w:t>
        </w:r>
      </w:hyperlink>
      <w:r>
        <w:rPr>
          <w:sz w:val="24"/>
        </w:rPr>
        <w:t xml:space="preserve">, который эти юридические лица и индивидуальные предприниматели могут ввезти в Российскую Федерацию, на следующий календарный год;</w:t>
      </w:r>
    </w:p>
    <w:p>
      <w:pPr>
        <w:pStyle w:val="0"/>
        <w:jc w:val="both"/>
      </w:pPr>
      <w:r>
        <w:rPr>
          <w:sz w:val="24"/>
        </w:rPr>
        <w:t xml:space="preserve">(пп. "в" 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01.09.2023 N 1423)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г) вносить ежегодно, начиная с 2022 года, не позднее 1 декабря, в Правительство Российской Федерации в установленном порядке согласованный с федеральными органами исполнительной власти, указанными в </w:t>
      </w:r>
      <w:hyperlink w:history="0" w:anchor="P50" w:tooltip="б) разработать и утвердить в месячный срок по согласованию с Министерством промышленности и торговли Российской Федерации, Министерством экономического развития Российской Федерации, Федеральной таможенной службой, Федеральной службой по надзору в сфере природопользования и Федеральной антимонопольной службой порядок ежегодного расчета допустимого объема производства в Российской Федерации регулируемых веществ списка F и ежегодного расчета объема регулируемых веществ списка F, планируемого к ввозу в Росс...">
        <w:r>
          <w:rPr>
            <w:sz w:val="24"/>
            <w:color w:val="0000ff"/>
          </w:rPr>
          <w:t xml:space="preserve">подпункте "б"</w:t>
        </w:r>
      </w:hyperlink>
      <w:r>
        <w:rPr>
          <w:sz w:val="24"/>
        </w:rPr>
        <w:t xml:space="preserve"> настоящего пункта, проект акта, устанавливающего объем производства и объем, планируемый к ввозу в Российскую Федерацию регулируемых веществ </w:t>
      </w:r>
      <w:hyperlink w:history="0" w:anchor="P490" w:tooltip="V. Список F">
        <w:r>
          <w:rPr>
            <w:sz w:val="24"/>
            <w:color w:val="0000ff"/>
          </w:rPr>
          <w:t xml:space="preserve">списка F</w:t>
        </w:r>
      </w:hyperlink>
      <w:r>
        <w:rPr>
          <w:sz w:val="24"/>
        </w:rPr>
        <w:t xml:space="preserve">, в допустимом объеме их потребления в Российской Федерации в метрических тоннах и тоннах эквивалента CO</w:t>
      </w:r>
      <w:r>
        <w:rPr>
          <w:sz w:val="24"/>
          <w:vertAlign w:val="subscript"/>
        </w:rPr>
        <w:t xml:space="preserve">2</w:t>
      </w:r>
      <w:r>
        <w:rPr>
          <w:sz w:val="24"/>
        </w:rPr>
        <w:t xml:space="preserve">, с указанием предприятий-производителей и объема регулируемых веществ </w:t>
      </w:r>
      <w:hyperlink w:history="0" w:anchor="P490" w:tooltip="V. Список F">
        <w:r>
          <w:rPr>
            <w:sz w:val="24"/>
            <w:color w:val="0000ff"/>
          </w:rPr>
          <w:t xml:space="preserve">списка F</w:t>
        </w:r>
      </w:hyperlink>
      <w:r>
        <w:rPr>
          <w:sz w:val="24"/>
        </w:rPr>
        <w:t xml:space="preserve">, который эти предприятия-производители могут произвести, а также списка юридических лиц и индивидуальных предпринимателей и объема регулируемых веществ </w:t>
      </w:r>
      <w:hyperlink w:history="0" w:anchor="P490" w:tooltip="V. Список F">
        <w:r>
          <w:rPr>
            <w:sz w:val="24"/>
            <w:color w:val="0000ff"/>
          </w:rPr>
          <w:t xml:space="preserve">списка F</w:t>
        </w:r>
      </w:hyperlink>
      <w:r>
        <w:rPr>
          <w:sz w:val="24"/>
        </w:rPr>
        <w:t xml:space="preserve">, который эти юридические лица и индивидуальные предприниматели могут ввезти в Российскую Федерацию, на следующий календарный год.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 Федеральная таможенная служба представляет ежеквартально, до 30-го числа месяца, следующего за отчетным кварталом, в Министерство природных ресурсов и экологии Российской Федерации данные таможенной статистики внешней торговли Российской Федерации в части, касающейся ввезенного в Российскую Федерацию и вывезенного из Российской Федерации количества озоноразрушающих веществ.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КонсультантПлюс: примечание.</w:t>
            </w:r>
          </w:p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П. 6 </w:t>
            </w:r>
            <w:hyperlink w:history="0" w:anchor="P66" w:tooltip="пункта 6 настоящего постановления и приложения N 1 к настоящему постановлению, которые вступают в силу с 1 сентября 2022 г. и действуют 6 лет;">
              <w:r>
                <w:rPr>
                  <w:sz w:val="24"/>
                  <w:color w:val="0000ff"/>
                </w:rPr>
                <w:t xml:space="preserve">вступает</w:t>
              </w:r>
            </w:hyperlink>
            <w:r>
              <w:rPr>
                <w:sz w:val="24"/>
                <w:color w:val="392c69"/>
              </w:rPr>
              <w:t xml:space="preserve"> в силу с 01.09.2022 и действует до 01.09.2028.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bookmarkStart w:id="57" w:name="P57"/>
    <w:bookmarkEnd w:id="57"/>
    <w:p>
      <w:pPr>
        <w:pStyle w:val="0"/>
        <w:spacing w:before="300" w:line-rule="auto"/>
        <w:ind w:firstLine="540"/>
        <w:jc w:val="both"/>
      </w:pPr>
      <w:r>
        <w:rPr>
          <w:sz w:val="24"/>
        </w:rPr>
        <w:t xml:space="preserve">6. В целях государственного учета обращения озоноразрушающих веществ юридические лица и индивидуальные предприниматели, осуществляющие производство, использование, хранение, рекуперацию, восстановление, рециркуляцию (рециркулирование) и уничтожение озоноразрушающих веществ на территории Российской Федерации: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а) ведут учет произведенных, использованных, находящихся на хранении, рекуперированных, восстановленных, рециркулированных и уничтоженных озоноразрушающих веществ;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б) представляют ежегодно, не позднее 1 апреля, в Министерство природных ресурсов и экологии Российской Федерации отчетность за прошедший год о произведенных, использованных, находящихся на хранении, рекуперированных, восстановленных, рециркулированных и уничтоженных озоноразрушающих веществах по форме согласно </w:t>
      </w:r>
      <w:hyperlink w:history="0" w:anchor="P583" w:tooltip="ОТЧЕТНОСТЬ">
        <w:r>
          <w:rPr>
            <w:sz w:val="24"/>
            <w:color w:val="0000ff"/>
          </w:rPr>
          <w:t xml:space="preserve">приложению N 1</w:t>
        </w:r>
      </w:hyperlink>
      <w:r>
        <w:rPr>
          <w:sz w:val="24"/>
        </w:rPr>
        <w:t xml:space="preserve">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в) обеспечивают своевременность представления отчетности о произведенных, использованных, находящихся на хранении, рекуперированных, восстановленных, рециркулированных и уничтоженных озоноразрушающих веществах и достоверность сведений, указанных в отчетности.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7. При пересчете в тонны эквивалента CO</w:t>
      </w:r>
      <w:r>
        <w:rPr>
          <w:sz w:val="24"/>
          <w:vertAlign w:val="subscript"/>
        </w:rPr>
        <w:t xml:space="preserve">2</w:t>
      </w:r>
      <w:r>
        <w:rPr>
          <w:sz w:val="24"/>
        </w:rPr>
        <w:t xml:space="preserve"> используются значения потенциала глобального потепления регулируемых веществ </w:t>
      </w:r>
      <w:hyperlink w:history="0" w:anchor="P490" w:tooltip="V. Список F">
        <w:r>
          <w:rPr>
            <w:sz w:val="24"/>
            <w:color w:val="0000ff"/>
          </w:rPr>
          <w:t xml:space="preserve">списка F</w:t>
        </w:r>
      </w:hyperlink>
      <w:r>
        <w:rPr>
          <w:sz w:val="24"/>
        </w:rPr>
        <w:t xml:space="preserve"> согласно </w:t>
      </w:r>
      <w:hyperlink w:history="0" w:anchor="P1040" w:tooltip="ЗНАЧЕНИЯ">
        <w:r>
          <w:rPr>
            <w:sz w:val="24"/>
            <w:color w:val="0000ff"/>
          </w:rPr>
          <w:t xml:space="preserve">приложению N 2</w:t>
        </w:r>
      </w:hyperlink>
      <w:r>
        <w:rPr>
          <w:sz w:val="24"/>
        </w:rPr>
        <w:t xml:space="preserve">, установленные поправкой к Монреальскому протоколу по веществам, разрушающим озоновый слой, принятой на двадцать восьмом совещании Сторон Монреальского протокола (г. Кигали, Руанда, 15 октября 2016 г.). Пересчет осуществляется путем умножения метрических тонн регулируемых веществ </w:t>
      </w:r>
      <w:hyperlink w:history="0" w:anchor="P490" w:tooltip="V. Список F">
        <w:r>
          <w:rPr>
            <w:sz w:val="24"/>
            <w:color w:val="0000ff"/>
          </w:rPr>
          <w:t xml:space="preserve">списка F</w:t>
        </w:r>
      </w:hyperlink>
      <w:r>
        <w:rPr>
          <w:sz w:val="24"/>
        </w:rPr>
        <w:t xml:space="preserve"> на их потенциал глобального потепления.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8. Реализация полномочий, установленных настоящим постановлением, осуществляется федеральными органами исполнительной власти в пределах установленной Правительством Российской Федерации предельной численности работников центрального аппарата и территориальных органов соответствующих федеральных органов исполнительной власти и бюджетных ассигнований, предусмотренных им в федеральном бюджете на руководство и управление в сфере установленных функций.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9. Признать утратившими силу акты и отдельные положения актов Правительства Российской Федерации по перечню согласно </w:t>
      </w:r>
      <w:hyperlink w:history="0" w:anchor="P1097" w:tooltip="ПЕРЕЧЕНЬ">
        <w:r>
          <w:rPr>
            <w:sz w:val="24"/>
            <w:color w:val="0000ff"/>
          </w:rPr>
          <w:t xml:space="preserve">приложению N 3</w:t>
        </w:r>
      </w:hyperlink>
      <w:r>
        <w:rPr>
          <w:sz w:val="24"/>
        </w:rPr>
        <w:t xml:space="preserve">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10. </w:t>
      </w:r>
      <w:r>
        <w:rPr>
          <w:sz w:val="24"/>
        </w:rPr>
        <w:t xml:space="preserve">Пункт 720</w:t>
      </w:r>
      <w:r>
        <w:rPr>
          <w:sz w:val="24"/>
        </w:rPr>
        <w:t xml:space="preserve"> перечня нормативных правовых актов и групп нормативных правовых актов Правительства Российской Федерации, нормативных правовых актов, отдельных положений нормативных правовых актов и групп нормативных правовых актов федеральных органов исполнительной власти, правовых актов, отдельных положений правовых актов, групп правовых актов исполнительных и распорядительных органов государственной власти РСФСР и Союза ССР, решений Государственной комиссии по радиочастотам, содержащих обязательные требования, в отношении которых не применяются положения частей 1, 2 и 3 статьи 15 Федерального закона "Об обязательных требованиях в Российской Федерации", утвержденного постановлением Правительства Российской Федерации от 31 декабря 2020 г. N 2467 "Об утверждении перечня нормативных правовых актов и групп нормативных правовых актов Правительства Российской Федерации, нормативных правовых актов, отдельных положений нормативных правовых актов и групп нормативных правовых актов федеральных органов исполнительной власти, правовых актов, отдельных положений правовых актов, групп правовых актов исполнительных и распорядительных органов государственной власти РСФСР и Союза ССР, решений Государственной комиссии по радиочастотам, содержащих обязательные требования, в отношении которых не применяются положения частей 1, 2 и 3 статьи 15 Федерального закона "Об обязательных требованиях в Российской Федерации" (Собрание законодательства Российской Федерации, 2021, N 2, ст. 471), исключить.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11. Настоящее постановление вступает в силу со дня его официального опубликования, за исключением:</w:t>
      </w:r>
    </w:p>
    <w:bookmarkStart w:id="66" w:name="P66"/>
    <w:bookmarkEnd w:id="66"/>
    <w:p>
      <w:pPr>
        <w:pStyle w:val="0"/>
        <w:spacing w:before="240" w:line-rule="auto"/>
        <w:ind w:firstLine="540"/>
        <w:jc w:val="both"/>
      </w:pPr>
      <w:hyperlink w:history="0" w:anchor="P57" w:tooltip="6. В целях государственного учета обращения озоноразрушающих веществ юридические лица и индивидуальные предприниматели, осуществляющие производство, использование, хранение, рекуперацию, восстановление, рециркуляцию (рециркулирование) и уничтожение озоноразрушающих веществ на территории Российской Федерации:">
        <w:r>
          <w:rPr>
            <w:sz w:val="24"/>
            <w:color w:val="0000ff"/>
          </w:rPr>
          <w:t xml:space="preserve">пункта 6</w:t>
        </w:r>
      </w:hyperlink>
      <w:r>
        <w:rPr>
          <w:sz w:val="24"/>
        </w:rPr>
        <w:t xml:space="preserve"> настоящего постановления и </w:t>
      </w:r>
      <w:hyperlink w:history="0" w:anchor="P583" w:tooltip="ОТЧЕТНОСТЬ">
        <w:r>
          <w:rPr>
            <w:sz w:val="24"/>
            <w:color w:val="0000ff"/>
          </w:rPr>
          <w:t xml:space="preserve">приложения N 1</w:t>
        </w:r>
      </w:hyperlink>
      <w:r>
        <w:rPr>
          <w:sz w:val="24"/>
        </w:rPr>
        <w:t xml:space="preserve"> к настоящему постановлению, которые вступают в силу с 1 сентября 2022 г. и действуют 6 лет;</w:t>
      </w:r>
    </w:p>
    <w:bookmarkStart w:id="67" w:name="P67"/>
    <w:bookmarkEnd w:id="67"/>
    <w:p>
      <w:pPr>
        <w:pStyle w:val="0"/>
        <w:spacing w:before="240" w:line-rule="auto"/>
        <w:ind w:firstLine="540"/>
        <w:jc w:val="both"/>
      </w:pPr>
      <w:hyperlink w:history="0" w:anchor="P1104" w:tooltip="2. Пункт 6 постановления Правительства Российской Федерации от 24 марта 2014 г. N 228 &quot;О мерах государственного регулирования потребления и обращения веществ, разрушающих озоновый слой&quot; (Собрание законодательства Российской Федерации, 2014, N 13, ст. 1484) и приложение N 1 к указанному постановлению.">
        <w:r>
          <w:rPr>
            <w:sz w:val="24"/>
            <w:color w:val="0000ff"/>
          </w:rPr>
          <w:t xml:space="preserve">пунктов 2</w:t>
        </w:r>
      </w:hyperlink>
      <w:r>
        <w:rPr>
          <w:sz w:val="24"/>
        </w:rPr>
        <w:t xml:space="preserve"> и </w:t>
      </w:r>
      <w:hyperlink w:history="0" w:anchor="P1107" w:tooltip="3. Постановление Правительства Российской Федерации от 20 ноября 2014 г. N 1229 &quot;О внесении изменений в постановление Правительства Российской Федерации от 24 марта 2014 г. N 228&quot; (Собрание законодательства Российской Федерации, 2014, N 48, ст. 6866).">
        <w:r>
          <w:rPr>
            <w:sz w:val="24"/>
            <w:color w:val="0000ff"/>
          </w:rPr>
          <w:t xml:space="preserve">3 приложения N 3</w:t>
        </w:r>
      </w:hyperlink>
      <w:r>
        <w:rPr>
          <w:sz w:val="24"/>
        </w:rPr>
        <w:t xml:space="preserve"> к настоящему постановлению, которые вступают в силу с 1 сентября 2022 г.</w:t>
      </w:r>
    </w:p>
    <w:bookmarkStart w:id="68" w:name="P68"/>
    <w:bookmarkEnd w:id="68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12. </w:t>
      </w:r>
      <w:hyperlink w:history="0" w:anchor="P24" w:tooltip="з) запрещается проектирование объектов хозяйственной и иной деятельности, осуществляющих производство озоноразрушающих веществ и содержащей их продукции, за исключением веществ, включенных в список F перечня, утвержденного настоящим постановлением (далее - регулируемые вещества списка F);">
        <w:r>
          <w:rPr>
            <w:sz w:val="24"/>
            <w:color w:val="0000ff"/>
          </w:rPr>
          <w:t xml:space="preserve">Подпункты "з"</w:t>
        </w:r>
      </w:hyperlink>
      <w:r>
        <w:rPr>
          <w:sz w:val="24"/>
        </w:rPr>
        <w:t xml:space="preserve"> - </w:t>
      </w:r>
      <w:hyperlink w:history="0" w:anchor="P32" w:tooltip="к) обращение озоноразрушающих веществ допускается только в таре многократного использования, за исключением обращения озоноразрушающих веществ в таре объемом менее 3 литров для лабораторных и аналитических видов использования, определенным международными договорами Российской Федерации;">
        <w:r>
          <w:rPr>
            <w:sz w:val="24"/>
            <w:color w:val="0000ff"/>
          </w:rPr>
          <w:t xml:space="preserve">"к" пункта 2</w:t>
        </w:r>
      </w:hyperlink>
      <w:r>
        <w:rPr>
          <w:sz w:val="24"/>
        </w:rPr>
        <w:t xml:space="preserve"> настоящего постановления действуют 6 лет.</w:t>
      </w:r>
    </w:p>
    <w:p>
      <w:pPr>
        <w:pStyle w:val="0"/>
        <w:jc w:val="both"/>
      </w:pPr>
      <w:r>
        <w:rPr>
          <w:sz w:val="24"/>
        </w:rPr>
        <w:t xml:space="preserve">(п. 12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01.09.2023 N 1423)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Председатель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М.МИШУСТИН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</w:t>
      </w:r>
    </w:p>
    <w:p>
      <w:pPr>
        <w:pStyle w:val="0"/>
        <w:jc w:val="right"/>
      </w:pPr>
      <w:r>
        <w:rPr>
          <w:sz w:val="24"/>
        </w:rPr>
        <w:t xml:space="preserve">постановлением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18 февраля 2022 г. N 206</w:t>
      </w:r>
    </w:p>
    <w:p>
      <w:pPr>
        <w:pStyle w:val="0"/>
        <w:jc w:val="both"/>
      </w:pPr>
      <w:r>
        <w:rPr>
          <w:sz w:val="24"/>
        </w:rPr>
      </w:r>
    </w:p>
    <w:bookmarkStart w:id="84" w:name="P84"/>
    <w:bookmarkEnd w:id="84"/>
    <w:p>
      <w:pPr>
        <w:pStyle w:val="2"/>
        <w:jc w:val="center"/>
      </w:pPr>
      <w:r>
        <w:rPr>
          <w:sz w:val="24"/>
        </w:rPr>
        <w:t xml:space="preserve">ПЕРЕЧЕНЬ</w:t>
      </w:r>
    </w:p>
    <w:p>
      <w:pPr>
        <w:pStyle w:val="2"/>
        <w:jc w:val="center"/>
      </w:pPr>
      <w:r>
        <w:rPr>
          <w:sz w:val="24"/>
        </w:rPr>
        <w:t xml:space="preserve">ВЕЩЕСТВ, РАЗРУШАЮЩИХ ОЗОНОВЫЙ СЛОЙ, ОБРАЩЕНИЕ КОТОРЫХ</w:t>
      </w:r>
    </w:p>
    <w:p>
      <w:pPr>
        <w:pStyle w:val="2"/>
        <w:jc w:val="center"/>
      </w:pPr>
      <w:r>
        <w:rPr>
          <w:sz w:val="24"/>
        </w:rPr>
        <w:t xml:space="preserve">ПОДЛЕЖИТ ГОСУДАРСТВЕННОМУ РЕГУЛИРОВАНИЮ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bottom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14"/>
        <w:gridCol w:w="1814"/>
        <w:gridCol w:w="3402"/>
        <w:gridCol w:w="2041"/>
      </w:tblGrid>
      <w:tr>
        <w:tblPrEx>
          <w:tblBorders>
            <w:insideV w:val="single" w:sz="4"/>
            <w:insideH w:val="single" w:sz="4"/>
          </w:tblBorders>
        </w:tblPrEx>
        <w:tc>
          <w:tcPr>
            <w:tcW w:w="1814" w:type="dxa"/>
            <w:tcBorders>
              <w:top w:val="single" w:sz="4"/>
              <w:left w:val="nil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Химическая формула</w:t>
            </w:r>
          </w:p>
        </w:tc>
        <w:tc>
          <w:tcPr>
            <w:tcW w:w="181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Вещество</w:t>
            </w:r>
          </w:p>
        </w:tc>
        <w:tc>
          <w:tcPr>
            <w:tcW w:w="3402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</w:t>
            </w:r>
          </w:p>
        </w:tc>
        <w:tc>
          <w:tcPr>
            <w:tcW w:w="2041" w:type="dxa"/>
            <w:tcBorders>
              <w:top w:val="single" w:sz="4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</w:t>
            </w:r>
            <w:r>
              <w:rPr>
                <w:sz w:val="24"/>
              </w:rPr>
              <w:t xml:space="preserve">ТН ВЭД ЕАЭС</w:t>
            </w:r>
          </w:p>
        </w:tc>
      </w:tr>
      <w:tr>
        <w:tc>
          <w:tcPr>
            <w:gridSpan w:val="4"/>
            <w:tcW w:w="9071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I. Список A</w:t>
            </w:r>
          </w:p>
        </w:tc>
      </w:tr>
      <w:tr>
        <w:tc>
          <w:tcPr>
            <w:gridSpan w:val="4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outlineLvl w:val="2"/>
              <w:jc w:val="center"/>
            </w:pPr>
            <w:r>
              <w:rPr>
                <w:sz w:val="24"/>
              </w:rPr>
              <w:t xml:space="preserve">Группа I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CFCl</w:t>
            </w:r>
            <w:r>
              <w:rPr>
                <w:sz w:val="24"/>
                <w:vertAlign w:val="subscript"/>
              </w:rPr>
              <w:t xml:space="preserve">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(ХФУ-11)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фтортрихлорметан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77 600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CF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Cl</w:t>
            </w:r>
            <w:r>
              <w:rPr>
                <w:sz w:val="24"/>
                <w:vertAlign w:val="subscript"/>
              </w:rPr>
              <w:t xml:space="preserve">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(ХФУ-12)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дифтордихлорметан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77 600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F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Cl</w:t>
            </w:r>
            <w:r>
              <w:rPr>
                <w:sz w:val="24"/>
                <w:vertAlign w:val="subscript"/>
              </w:rPr>
              <w:t xml:space="preserve">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(ХФУ-113)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1,1,2-трифтортрихлорэтан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77 600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F</w:t>
            </w:r>
            <w:r>
              <w:rPr>
                <w:sz w:val="24"/>
                <w:vertAlign w:val="subscript"/>
              </w:rPr>
              <w:t xml:space="preserve">4</w:t>
            </w:r>
            <w:r>
              <w:rPr>
                <w:sz w:val="24"/>
              </w:rPr>
              <w:t xml:space="preserve">Cl</w:t>
            </w:r>
            <w:r>
              <w:rPr>
                <w:sz w:val="24"/>
                <w:vertAlign w:val="subscript"/>
              </w:rPr>
              <w:t xml:space="preserve">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(ХФУ-114)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1,1,2,2-тетрафтордихлорэтан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77 600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F</w:t>
            </w:r>
            <w:r>
              <w:rPr>
                <w:sz w:val="24"/>
                <w:vertAlign w:val="subscript"/>
              </w:rPr>
              <w:t xml:space="preserve">5</w:t>
            </w:r>
            <w:r>
              <w:rPr>
                <w:sz w:val="24"/>
              </w:rPr>
              <w:t xml:space="preserve">Cl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(ХФУ-115)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пентафторхлорэтан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77 600 0</w:t>
            </w:r>
          </w:p>
        </w:tc>
      </w:tr>
      <w:tr>
        <w:tc>
          <w:tcPr>
            <w:gridSpan w:val="4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outlineLvl w:val="2"/>
              <w:jc w:val="center"/>
            </w:pPr>
            <w:r>
              <w:rPr>
                <w:sz w:val="24"/>
              </w:rPr>
              <w:t xml:space="preserve">Группа II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CF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BrCl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(Галон 1211)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дифторхлорбромметан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2903 76 100 0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CF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Br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(Галон 1301)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трифторбромметан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2903 76 200 0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F</w:t>
            </w:r>
            <w:r>
              <w:rPr>
                <w:sz w:val="24"/>
                <w:vertAlign w:val="subscript"/>
              </w:rPr>
              <w:t xml:space="preserve">4</w:t>
            </w:r>
            <w:r>
              <w:rPr>
                <w:sz w:val="24"/>
              </w:rPr>
              <w:t xml:space="preserve">Br</w:t>
            </w:r>
            <w:r>
              <w:rPr>
                <w:sz w:val="24"/>
                <w:vertAlign w:val="subscript"/>
              </w:rPr>
              <w:t xml:space="preserve">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(Галон 2402)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1,1,2,2-тетрафтордибромэтан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76 900 0</w:t>
            </w:r>
          </w:p>
        </w:tc>
      </w:tr>
      <w:tr>
        <w:tc>
          <w:tcPr>
            <w:gridSpan w:val="4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II. Список B</w:t>
            </w:r>
          </w:p>
        </w:tc>
      </w:tr>
      <w:tr>
        <w:tc>
          <w:tcPr>
            <w:gridSpan w:val="4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outlineLvl w:val="2"/>
              <w:jc w:val="center"/>
            </w:pPr>
            <w:r>
              <w:rPr>
                <w:sz w:val="24"/>
              </w:rPr>
              <w:t xml:space="preserve">Группа I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CF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Cl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(ХФУ-13)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трифторхлорметан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77 900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FCl</w:t>
            </w:r>
            <w:r>
              <w:rPr>
                <w:sz w:val="24"/>
                <w:vertAlign w:val="subscript"/>
              </w:rPr>
              <w:t xml:space="preserve">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(ХФУ-111)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фторпентахлорэтан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77 900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F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Cl</w:t>
            </w:r>
            <w:r>
              <w:rPr>
                <w:sz w:val="24"/>
                <w:vertAlign w:val="subscript"/>
              </w:rPr>
              <w:t xml:space="preserve">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(ХФУ-112)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дифтортетрахлорэтаны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77 900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FCl</w:t>
            </w:r>
            <w:r>
              <w:rPr>
                <w:sz w:val="24"/>
                <w:vertAlign w:val="subscript"/>
              </w:rPr>
              <w:t xml:space="preserve">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(ХФУ-211)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фторгептахлорпропаны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77 900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F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Cl</w:t>
            </w:r>
            <w:r>
              <w:rPr>
                <w:sz w:val="24"/>
                <w:vertAlign w:val="subscript"/>
              </w:rPr>
              <w:t xml:space="preserve">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(ХФУ-212)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дифторгексахлорпропаны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77 900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F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Cl</w:t>
            </w:r>
            <w:r>
              <w:rPr>
                <w:sz w:val="24"/>
                <w:vertAlign w:val="subscript"/>
              </w:rPr>
              <w:t xml:space="preserve">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(ХФУ-213)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трифторпентахлорпропаны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77 900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F</w:t>
            </w:r>
            <w:r>
              <w:rPr>
                <w:sz w:val="24"/>
                <w:vertAlign w:val="subscript"/>
              </w:rPr>
              <w:t xml:space="preserve">4</w:t>
            </w:r>
            <w:r>
              <w:rPr>
                <w:sz w:val="24"/>
              </w:rPr>
              <w:t xml:space="preserve">Cl</w:t>
            </w:r>
            <w:r>
              <w:rPr>
                <w:sz w:val="24"/>
                <w:vertAlign w:val="subscript"/>
              </w:rPr>
              <w:t xml:space="preserve">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(ХФУ-214)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тетрафтортетрахлорпропаны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77 900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F</w:t>
            </w:r>
            <w:r>
              <w:rPr>
                <w:sz w:val="24"/>
                <w:vertAlign w:val="subscript"/>
              </w:rPr>
              <w:t xml:space="preserve">5</w:t>
            </w:r>
            <w:r>
              <w:rPr>
                <w:sz w:val="24"/>
              </w:rPr>
              <w:t xml:space="preserve">Cl</w:t>
            </w:r>
            <w:r>
              <w:rPr>
                <w:sz w:val="24"/>
                <w:vertAlign w:val="subscript"/>
              </w:rPr>
              <w:t xml:space="preserve">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(ХФУ-215)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пентафтортрихлорпропаны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77 900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F</w:t>
            </w:r>
            <w:r>
              <w:rPr>
                <w:sz w:val="24"/>
                <w:vertAlign w:val="subscript"/>
              </w:rPr>
              <w:t xml:space="preserve">6</w:t>
            </w:r>
            <w:r>
              <w:rPr>
                <w:sz w:val="24"/>
              </w:rPr>
              <w:t xml:space="preserve">Cl</w:t>
            </w:r>
            <w:r>
              <w:rPr>
                <w:sz w:val="24"/>
                <w:vertAlign w:val="subscript"/>
              </w:rPr>
              <w:t xml:space="preserve">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(ХФУ-216)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гексафтордихлорпропаны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77 900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F</w:t>
            </w:r>
            <w:r>
              <w:rPr>
                <w:sz w:val="24"/>
                <w:vertAlign w:val="subscript"/>
              </w:rPr>
              <w:t xml:space="preserve">7</w:t>
            </w:r>
            <w:r>
              <w:rPr>
                <w:sz w:val="24"/>
              </w:rPr>
              <w:t xml:space="preserve">Cl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(ХФУ-217)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гептафторхлорпропаны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77 900 0</w:t>
            </w:r>
          </w:p>
        </w:tc>
      </w:tr>
      <w:tr>
        <w:tc>
          <w:tcPr>
            <w:gridSpan w:val="4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outlineLvl w:val="2"/>
              <w:jc w:val="center"/>
            </w:pPr>
            <w:r>
              <w:rPr>
                <w:sz w:val="24"/>
              </w:rPr>
              <w:t xml:space="preserve">Группа II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CCl</w:t>
            </w:r>
            <w:r>
              <w:rPr>
                <w:sz w:val="24"/>
                <w:vertAlign w:val="subscript"/>
              </w:rPr>
              <w:t xml:space="preserve">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четыреххлористый углерод (ЧХУ) или тетрахлорметан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2903 14 000 0</w:t>
            </w:r>
          </w:p>
        </w:tc>
      </w:tr>
      <w:tr>
        <w:tc>
          <w:tcPr>
            <w:gridSpan w:val="4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outlineLvl w:val="2"/>
              <w:jc w:val="center"/>
            </w:pPr>
            <w:r>
              <w:rPr>
                <w:sz w:val="24"/>
              </w:rPr>
              <w:t xml:space="preserve">Группа III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H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Cl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 </w:t>
            </w:r>
            <w:hyperlink w:history="0" w:anchor="P568" w:tooltip="&lt;*&gt; Формула не относится к 1,1,2-трихлорэтану.">
              <w:r>
                <w:rPr>
                  <w:sz w:val="24"/>
                  <w:color w:val="0000ff"/>
                </w:rPr>
                <w:t xml:space="preserve">&lt;*&gt;</w:t>
              </w:r>
            </w:hyperlink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метилхлороформ (МХФ), то есть 1,1,1-трихлорэтан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19 000 0</w:t>
            </w:r>
          </w:p>
        </w:tc>
      </w:tr>
      <w:tr>
        <w:tc>
          <w:tcPr>
            <w:gridSpan w:val="4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III. Список C</w:t>
            </w:r>
          </w:p>
        </w:tc>
      </w:tr>
      <w:tr>
        <w:tc>
          <w:tcPr>
            <w:gridSpan w:val="4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bookmarkStart w:id="180" w:name="P180"/>
          <w:bookmarkEnd w:id="180"/>
          <w:p>
            <w:pPr>
              <w:pStyle w:val="0"/>
              <w:outlineLvl w:val="2"/>
              <w:jc w:val="center"/>
            </w:pPr>
            <w:r>
              <w:rPr>
                <w:sz w:val="24"/>
              </w:rPr>
              <w:t xml:space="preserve">Группа I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CHFCl</w:t>
            </w:r>
            <w:r>
              <w:rPr>
                <w:sz w:val="24"/>
                <w:vertAlign w:val="subscript"/>
              </w:rPr>
              <w:t xml:space="preserve">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(ГХФУ-21)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фтордихлорметан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CHF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Cl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(ГХФУ-22)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дифторхлорметан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71 000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CH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FCl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(ГХФУ-31)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фторхлорметан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HFCl</w:t>
            </w:r>
            <w:r>
              <w:rPr>
                <w:sz w:val="24"/>
                <w:vertAlign w:val="subscript"/>
              </w:rPr>
              <w:t xml:space="preserve">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(ГХФУ-121)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фтортетрахлорэтан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HF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Cl</w:t>
            </w:r>
            <w:r>
              <w:rPr>
                <w:sz w:val="24"/>
                <w:vertAlign w:val="subscript"/>
              </w:rPr>
              <w:t xml:space="preserve">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(ГХФУ-122)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дифтортрихлорэтан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HF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Cl</w:t>
            </w:r>
            <w:r>
              <w:rPr>
                <w:sz w:val="24"/>
                <w:vertAlign w:val="subscript"/>
              </w:rPr>
              <w:t xml:space="preserve">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(ГХФУ-123a)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трифтордихлорэтан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72 000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CHCl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CF</w:t>
            </w:r>
            <w:r>
              <w:rPr>
                <w:sz w:val="24"/>
                <w:vertAlign w:val="subscript"/>
              </w:rPr>
              <w:t xml:space="preserve">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(ГХФУ-123)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трифтордихлорэтан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72 000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HF</w:t>
            </w:r>
            <w:r>
              <w:rPr>
                <w:sz w:val="24"/>
                <w:vertAlign w:val="subscript"/>
              </w:rPr>
              <w:t xml:space="preserve">4</w:t>
            </w:r>
            <w:r>
              <w:rPr>
                <w:sz w:val="24"/>
              </w:rPr>
              <w:t xml:space="preserve">Cl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(ГХФУ-124a)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тетрафторхлорэтан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CHFClCF</w:t>
            </w:r>
            <w:r>
              <w:rPr>
                <w:sz w:val="24"/>
                <w:vertAlign w:val="subscript"/>
              </w:rPr>
              <w:t xml:space="preserve">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(ГХФУ-124)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тетрафторхлорэтан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H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FCl</w:t>
            </w:r>
            <w:r>
              <w:rPr>
                <w:sz w:val="24"/>
                <w:vertAlign w:val="subscript"/>
              </w:rPr>
              <w:t xml:space="preserve">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(ГХФУ-131)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фтортрихлорэтан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H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F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Cl</w:t>
            </w:r>
            <w:r>
              <w:rPr>
                <w:sz w:val="24"/>
                <w:vertAlign w:val="subscript"/>
              </w:rPr>
              <w:t xml:space="preserve">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(ГХФУ-132)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дифтордихлорэтан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H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F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Cl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(ГХФУ-133)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трифторхлорэтан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H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FCl</w:t>
            </w:r>
            <w:r>
              <w:rPr>
                <w:sz w:val="24"/>
                <w:vertAlign w:val="subscript"/>
              </w:rPr>
              <w:t xml:space="preserve">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(ГХФУ-141)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1-фтор-2,2-дихлорэтан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73 000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CH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CFCl</w:t>
            </w:r>
            <w:r>
              <w:rPr>
                <w:sz w:val="24"/>
                <w:vertAlign w:val="subscript"/>
              </w:rPr>
              <w:t xml:space="preserve">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(ГХФУ-141b)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1,1,1-фтордихлорэтан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73 000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H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F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Cl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(ГХФУ-142)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1-хлор, 2,2-дифторэтан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74 000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CH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CF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Cl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(ГХФУ-142b)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1,1,1-дифторхлорэтан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74 000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H</w:t>
            </w:r>
            <w:r>
              <w:rPr>
                <w:sz w:val="24"/>
                <w:vertAlign w:val="subscript"/>
              </w:rPr>
              <w:t xml:space="preserve">4</w:t>
            </w:r>
            <w:r>
              <w:rPr>
                <w:sz w:val="24"/>
              </w:rPr>
              <w:t xml:space="preserve">FCl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(ГХФУ-151)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фторхлорэтан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HFCl</w:t>
            </w:r>
            <w:r>
              <w:rPr>
                <w:sz w:val="24"/>
                <w:vertAlign w:val="subscript"/>
              </w:rPr>
              <w:t xml:space="preserve">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(ГХФУ-221)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фторгексахлорпропан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HF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Cl</w:t>
            </w:r>
            <w:r>
              <w:rPr>
                <w:sz w:val="24"/>
                <w:vertAlign w:val="subscript"/>
              </w:rPr>
              <w:t xml:space="preserve">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(ГХФУ-222)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дифторпентахлорпропан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HF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Cl</w:t>
            </w:r>
            <w:r>
              <w:rPr>
                <w:sz w:val="24"/>
                <w:vertAlign w:val="subscript"/>
              </w:rPr>
              <w:t xml:space="preserve">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(ГХФУ-223)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трифтортетрахлорпропан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HF</w:t>
            </w:r>
            <w:r>
              <w:rPr>
                <w:sz w:val="24"/>
                <w:vertAlign w:val="subscript"/>
              </w:rPr>
              <w:t xml:space="preserve">4</w:t>
            </w:r>
            <w:r>
              <w:rPr>
                <w:sz w:val="24"/>
              </w:rPr>
              <w:t xml:space="preserve">Cl</w:t>
            </w:r>
            <w:r>
              <w:rPr>
                <w:sz w:val="24"/>
                <w:vertAlign w:val="subscript"/>
              </w:rPr>
              <w:t xml:space="preserve">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(ГХФУ-224)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тетрафтортрихлорпропан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HF</w:t>
            </w:r>
            <w:r>
              <w:rPr>
                <w:sz w:val="24"/>
                <w:vertAlign w:val="subscript"/>
              </w:rPr>
              <w:t xml:space="preserve">5</w:t>
            </w:r>
            <w:r>
              <w:rPr>
                <w:sz w:val="24"/>
              </w:rPr>
              <w:t xml:space="preserve">Cl</w:t>
            </w:r>
            <w:r>
              <w:rPr>
                <w:sz w:val="24"/>
                <w:vertAlign w:val="subscript"/>
              </w:rPr>
              <w:t xml:space="preserve">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(ГХФУ-225)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пентафтордихлорпропан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75 000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CF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CF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CHCl</w:t>
            </w:r>
            <w:r>
              <w:rPr>
                <w:sz w:val="24"/>
                <w:vertAlign w:val="subscript"/>
              </w:rPr>
              <w:t xml:space="preserve">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(ГХФУ-225ca)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1-трифтор, 2-дифтор, 3-дихлорпропан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75 000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CF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ClCF</w:t>
            </w:r>
            <w:r>
              <w:rPr>
                <w:sz w:val="24"/>
                <w:vertAlign w:val="subscript"/>
              </w:rPr>
              <w:t xml:space="preserve">2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CHClF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(ГХФУ-225tb)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1,1-дифторхлор, 2-дифтор, 3-хлорфторпропан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75 000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HF</w:t>
            </w:r>
            <w:r>
              <w:rPr>
                <w:sz w:val="24"/>
                <w:vertAlign w:val="subscript"/>
              </w:rPr>
              <w:t xml:space="preserve">6</w:t>
            </w:r>
            <w:r>
              <w:rPr>
                <w:sz w:val="24"/>
              </w:rPr>
              <w:t xml:space="preserve">Cl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(ГХФУ-226)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гексафторхлорпропан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H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FCl</w:t>
            </w:r>
            <w:r>
              <w:rPr>
                <w:sz w:val="24"/>
                <w:vertAlign w:val="subscript"/>
              </w:rPr>
              <w:t xml:space="preserve">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(ГХФУ-231)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фторпентахлорпропан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H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F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Cl</w:t>
            </w:r>
            <w:r>
              <w:rPr>
                <w:sz w:val="24"/>
                <w:vertAlign w:val="subscript"/>
              </w:rPr>
              <w:t xml:space="preserve">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(ГХФУ-232)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дифтортетрахлорпропан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H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F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Cl</w:t>
            </w:r>
            <w:r>
              <w:rPr>
                <w:sz w:val="24"/>
                <w:vertAlign w:val="subscript"/>
              </w:rPr>
              <w:t xml:space="preserve">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(ГХФУ-233)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трифтортрихлорпропан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H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F</w:t>
            </w:r>
            <w:r>
              <w:rPr>
                <w:sz w:val="24"/>
                <w:vertAlign w:val="subscript"/>
              </w:rPr>
              <w:t xml:space="preserve">4</w:t>
            </w:r>
            <w:r>
              <w:rPr>
                <w:sz w:val="24"/>
              </w:rPr>
              <w:t xml:space="preserve">Cl</w:t>
            </w:r>
            <w:r>
              <w:rPr>
                <w:sz w:val="24"/>
                <w:vertAlign w:val="subscript"/>
              </w:rPr>
              <w:t xml:space="preserve">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(ГХФУ-234)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тетрафтордихлорпропан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H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F</w:t>
            </w:r>
            <w:r>
              <w:rPr>
                <w:sz w:val="24"/>
                <w:vertAlign w:val="subscript"/>
              </w:rPr>
              <w:t xml:space="preserve">5</w:t>
            </w:r>
            <w:r>
              <w:rPr>
                <w:sz w:val="24"/>
              </w:rPr>
              <w:t xml:space="preserve">Cl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(ГХФУ-235)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пентафторхлорпропан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H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FCl</w:t>
            </w:r>
            <w:r>
              <w:rPr>
                <w:sz w:val="24"/>
                <w:vertAlign w:val="subscript"/>
              </w:rPr>
              <w:t xml:space="preserve">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(ГХФУ-241)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фтортетрахлорпропан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H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F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Cl</w:t>
            </w:r>
            <w:r>
              <w:rPr>
                <w:sz w:val="24"/>
                <w:vertAlign w:val="subscript"/>
              </w:rPr>
              <w:t xml:space="preserve">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(ГХФУ-242)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дифтортрихлорпропан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H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F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Cl</w:t>
            </w:r>
            <w:r>
              <w:rPr>
                <w:sz w:val="24"/>
                <w:vertAlign w:val="subscript"/>
              </w:rPr>
              <w:t xml:space="preserve">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(ГХФУ-243)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трифтордихлорпропан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H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F</w:t>
            </w:r>
            <w:r>
              <w:rPr>
                <w:sz w:val="24"/>
                <w:vertAlign w:val="subscript"/>
              </w:rPr>
              <w:t xml:space="preserve">4</w:t>
            </w:r>
            <w:r>
              <w:rPr>
                <w:sz w:val="24"/>
              </w:rPr>
              <w:t xml:space="preserve">Cl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(ГХФУ-244)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тетрафторхлорпропан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H</w:t>
            </w:r>
            <w:r>
              <w:rPr>
                <w:sz w:val="24"/>
                <w:vertAlign w:val="subscript"/>
              </w:rPr>
              <w:t xml:space="preserve">4</w:t>
            </w:r>
            <w:r>
              <w:rPr>
                <w:sz w:val="24"/>
              </w:rPr>
              <w:t xml:space="preserve">FCl</w:t>
            </w:r>
            <w:r>
              <w:rPr>
                <w:sz w:val="24"/>
                <w:vertAlign w:val="subscript"/>
              </w:rPr>
              <w:t xml:space="preserve">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(ГХФУ-251)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фтортрихлорпропан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H</w:t>
            </w:r>
            <w:r>
              <w:rPr>
                <w:sz w:val="24"/>
                <w:vertAlign w:val="subscript"/>
              </w:rPr>
              <w:t xml:space="preserve">4</w:t>
            </w:r>
            <w:r>
              <w:rPr>
                <w:sz w:val="24"/>
              </w:rPr>
              <w:t xml:space="preserve">F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Cl</w:t>
            </w:r>
            <w:r>
              <w:rPr>
                <w:sz w:val="24"/>
                <w:vertAlign w:val="subscript"/>
              </w:rPr>
              <w:t xml:space="preserve">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(ГХФУ-252)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дифтордихлорпропан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H</w:t>
            </w:r>
            <w:r>
              <w:rPr>
                <w:sz w:val="24"/>
                <w:vertAlign w:val="subscript"/>
              </w:rPr>
              <w:t xml:space="preserve">4</w:t>
            </w:r>
            <w:r>
              <w:rPr>
                <w:sz w:val="24"/>
              </w:rPr>
              <w:t xml:space="preserve">F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Cl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(ГХФУ-253)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трифторхлорпропан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H</w:t>
            </w:r>
            <w:r>
              <w:rPr>
                <w:sz w:val="24"/>
                <w:vertAlign w:val="subscript"/>
              </w:rPr>
              <w:t xml:space="preserve">5</w:t>
            </w:r>
            <w:r>
              <w:rPr>
                <w:sz w:val="24"/>
              </w:rPr>
              <w:t xml:space="preserve">FCl</w:t>
            </w:r>
            <w:r>
              <w:rPr>
                <w:sz w:val="24"/>
                <w:vertAlign w:val="subscript"/>
              </w:rPr>
              <w:t xml:space="preserve">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(ГХФУ-261)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фтордихлорпропан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H</w:t>
            </w:r>
            <w:r>
              <w:rPr>
                <w:sz w:val="24"/>
                <w:vertAlign w:val="subscript"/>
              </w:rPr>
              <w:t xml:space="preserve">5</w:t>
            </w:r>
            <w:r>
              <w:rPr>
                <w:sz w:val="24"/>
              </w:rPr>
              <w:t xml:space="preserve">F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Cl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(ГХФУ-262)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дифторхлорпропан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H</w:t>
            </w:r>
            <w:r>
              <w:rPr>
                <w:sz w:val="24"/>
                <w:vertAlign w:val="subscript"/>
              </w:rPr>
              <w:t xml:space="preserve">6</w:t>
            </w:r>
            <w:r>
              <w:rPr>
                <w:sz w:val="24"/>
              </w:rPr>
              <w:t xml:space="preserve">FCl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(ГХФУ-271)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фторхлорпропан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gridSpan w:val="4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outlineLvl w:val="2"/>
              <w:jc w:val="center"/>
            </w:pPr>
            <w:r>
              <w:rPr>
                <w:sz w:val="24"/>
              </w:rPr>
              <w:t xml:space="preserve">Группа II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CHFBr</w:t>
            </w:r>
            <w:r>
              <w:rPr>
                <w:sz w:val="24"/>
                <w:vertAlign w:val="subscript"/>
              </w:rPr>
              <w:t xml:space="preserve">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(ГБФУ-21B2)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фтордибромметан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CHF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Br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(ГБФУ-22B1)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дифторбромметан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CH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FBr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(ГБФУ-31B1)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фторбромметан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HFBr</w:t>
            </w:r>
            <w:r>
              <w:rPr>
                <w:sz w:val="24"/>
                <w:vertAlign w:val="subscript"/>
              </w:rPr>
              <w:t xml:space="preserve">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(ГБФУ-21B4)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фтортетрабромэтан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HF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Br</w:t>
            </w:r>
            <w:r>
              <w:rPr>
                <w:sz w:val="24"/>
                <w:vertAlign w:val="subscript"/>
              </w:rPr>
              <w:t xml:space="preserve">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(ГБФУ-23B3)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дифтортрибромэтан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HF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Br</w:t>
            </w:r>
            <w:r>
              <w:rPr>
                <w:sz w:val="24"/>
                <w:vertAlign w:val="subscript"/>
              </w:rPr>
              <w:t xml:space="preserve">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(ГБФУ-23B2)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трифтордибромэтан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HF</w:t>
            </w:r>
            <w:r>
              <w:rPr>
                <w:sz w:val="24"/>
                <w:vertAlign w:val="subscript"/>
              </w:rPr>
              <w:t xml:space="preserve">4</w:t>
            </w:r>
            <w:r>
              <w:rPr>
                <w:sz w:val="24"/>
              </w:rPr>
              <w:t xml:space="preserve">Br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(ГБФУ-24B1)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тетрафторбромэтан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H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FBr</w:t>
            </w:r>
            <w:r>
              <w:rPr>
                <w:sz w:val="24"/>
                <w:vertAlign w:val="subscript"/>
              </w:rPr>
              <w:t xml:space="preserve">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(ГБФУ-31B3)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фтортрибромэтан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H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F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Br</w:t>
            </w:r>
            <w:r>
              <w:rPr>
                <w:sz w:val="24"/>
                <w:vertAlign w:val="subscript"/>
              </w:rPr>
              <w:t xml:space="preserve">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(ГБФУ-32B2)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дифтордибромэтан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H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F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Br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(ГБФУ-33B1)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трифторбромэтан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H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FBr</w:t>
            </w:r>
            <w:r>
              <w:rPr>
                <w:sz w:val="24"/>
                <w:vertAlign w:val="subscript"/>
              </w:rPr>
              <w:t xml:space="preserve">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(ГБФУ-41B2)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фтордибромэтан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H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F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Br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(ГБФУ-42B1)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дифторбромэтан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H</w:t>
            </w:r>
            <w:r>
              <w:rPr>
                <w:sz w:val="24"/>
                <w:vertAlign w:val="subscript"/>
              </w:rPr>
              <w:t xml:space="preserve">4</w:t>
            </w:r>
            <w:r>
              <w:rPr>
                <w:sz w:val="24"/>
              </w:rPr>
              <w:t xml:space="preserve">FBr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(ГБФУ-51B1)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фторбромэтан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HFBr</w:t>
            </w:r>
            <w:r>
              <w:rPr>
                <w:sz w:val="24"/>
                <w:vertAlign w:val="subscript"/>
              </w:rPr>
              <w:t xml:space="preserve">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(ГБФУ-21B6)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фторгексабромпропан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HF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Br</w:t>
            </w:r>
            <w:r>
              <w:rPr>
                <w:sz w:val="24"/>
                <w:vertAlign w:val="subscript"/>
              </w:rPr>
              <w:t xml:space="preserve">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(ГБФУ-22B5)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дифторпентабромпропан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HF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Br</w:t>
            </w:r>
            <w:r>
              <w:rPr>
                <w:sz w:val="24"/>
                <w:vertAlign w:val="subscript"/>
              </w:rPr>
              <w:t xml:space="preserve">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(ГБФУ-23B4)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трифтортетрабромпропан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HF</w:t>
            </w:r>
            <w:r>
              <w:rPr>
                <w:sz w:val="24"/>
                <w:vertAlign w:val="subscript"/>
              </w:rPr>
              <w:t xml:space="preserve">4</w:t>
            </w:r>
            <w:r>
              <w:rPr>
                <w:sz w:val="24"/>
              </w:rPr>
              <w:t xml:space="preserve">Br</w:t>
            </w:r>
            <w:r>
              <w:rPr>
                <w:sz w:val="24"/>
                <w:vertAlign w:val="subscript"/>
              </w:rPr>
              <w:t xml:space="preserve">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(ГБФУ-24B3)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тетрафтортрибромпропан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HF</w:t>
            </w:r>
            <w:r>
              <w:rPr>
                <w:sz w:val="24"/>
                <w:vertAlign w:val="subscript"/>
              </w:rPr>
              <w:t xml:space="preserve">5</w:t>
            </w:r>
            <w:r>
              <w:rPr>
                <w:sz w:val="24"/>
              </w:rPr>
              <w:t xml:space="preserve">Br</w:t>
            </w:r>
            <w:r>
              <w:rPr>
                <w:sz w:val="24"/>
                <w:vertAlign w:val="subscript"/>
              </w:rPr>
              <w:t xml:space="preserve">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(ГБФУ-25B2)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пентафтордибромпропан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HF</w:t>
            </w:r>
            <w:r>
              <w:rPr>
                <w:sz w:val="24"/>
                <w:vertAlign w:val="subscript"/>
              </w:rPr>
              <w:t xml:space="preserve">6</w:t>
            </w:r>
            <w:r>
              <w:rPr>
                <w:sz w:val="24"/>
              </w:rPr>
              <w:t xml:space="preserve">Br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(ГБФУ-26B1)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гексафторбромпропан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H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FBr</w:t>
            </w:r>
            <w:r>
              <w:rPr>
                <w:sz w:val="24"/>
                <w:vertAlign w:val="subscript"/>
              </w:rPr>
              <w:t xml:space="preserve">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(ГБФУ-31B5)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фторпентабромпропан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H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F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Br</w:t>
            </w:r>
            <w:r>
              <w:rPr>
                <w:sz w:val="24"/>
                <w:vertAlign w:val="subscript"/>
              </w:rPr>
              <w:t xml:space="preserve">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(ГБФУ-32B4)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дифтортетрабромпропан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H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F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Br</w:t>
            </w:r>
            <w:r>
              <w:rPr>
                <w:sz w:val="24"/>
                <w:vertAlign w:val="subscript"/>
              </w:rPr>
              <w:t xml:space="preserve">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(ГБФУ-33B3)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трифтортрибромпропан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H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F</w:t>
            </w:r>
            <w:r>
              <w:rPr>
                <w:sz w:val="24"/>
                <w:vertAlign w:val="subscript"/>
              </w:rPr>
              <w:t xml:space="preserve">4</w:t>
            </w:r>
            <w:r>
              <w:rPr>
                <w:sz w:val="24"/>
              </w:rPr>
              <w:t xml:space="preserve">Br</w:t>
            </w:r>
            <w:r>
              <w:rPr>
                <w:sz w:val="24"/>
                <w:vertAlign w:val="subscript"/>
              </w:rPr>
              <w:t xml:space="preserve">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(ГБФУ-34B2)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тетрафтордибромпропан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H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F</w:t>
            </w:r>
            <w:r>
              <w:rPr>
                <w:sz w:val="24"/>
                <w:vertAlign w:val="subscript"/>
              </w:rPr>
              <w:t xml:space="preserve">5</w:t>
            </w:r>
            <w:r>
              <w:rPr>
                <w:sz w:val="24"/>
              </w:rPr>
              <w:t xml:space="preserve">Br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(ГБФУ-35B1)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пентафторбромпропан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H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FBr</w:t>
            </w:r>
            <w:r>
              <w:rPr>
                <w:sz w:val="24"/>
                <w:vertAlign w:val="subscript"/>
              </w:rPr>
              <w:t xml:space="preserve">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(ГБФУ-41B4)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фтортетрабромпропан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H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F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Br</w:t>
            </w:r>
            <w:r>
              <w:rPr>
                <w:sz w:val="24"/>
                <w:vertAlign w:val="subscript"/>
              </w:rPr>
              <w:t xml:space="preserve">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(ГБФУ-42B3)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дифтортрибромпропан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H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F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Br</w:t>
            </w:r>
            <w:r>
              <w:rPr>
                <w:sz w:val="24"/>
                <w:vertAlign w:val="subscript"/>
              </w:rPr>
              <w:t xml:space="preserve">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(ГБФУ-43B2)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трифтордибромпропан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H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F</w:t>
            </w:r>
            <w:r>
              <w:rPr>
                <w:sz w:val="24"/>
                <w:vertAlign w:val="subscript"/>
              </w:rPr>
              <w:t xml:space="preserve">4</w:t>
            </w:r>
            <w:r>
              <w:rPr>
                <w:sz w:val="24"/>
              </w:rPr>
              <w:t xml:space="preserve">Br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(ГБФУ-44B1)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тетрафторбромпропан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H</w:t>
            </w:r>
            <w:r>
              <w:rPr>
                <w:sz w:val="24"/>
                <w:vertAlign w:val="subscript"/>
              </w:rPr>
              <w:t xml:space="preserve">4</w:t>
            </w:r>
            <w:r>
              <w:rPr>
                <w:sz w:val="24"/>
              </w:rPr>
              <w:t xml:space="preserve">FBr</w:t>
            </w:r>
            <w:r>
              <w:rPr>
                <w:sz w:val="24"/>
                <w:vertAlign w:val="subscript"/>
              </w:rPr>
              <w:t xml:space="preserve">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(ГБФУ-51B3)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фтортрибромпропан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H</w:t>
            </w:r>
            <w:r>
              <w:rPr>
                <w:sz w:val="24"/>
                <w:vertAlign w:val="subscript"/>
              </w:rPr>
              <w:t xml:space="preserve">4</w:t>
            </w:r>
            <w:r>
              <w:rPr>
                <w:sz w:val="24"/>
              </w:rPr>
              <w:t xml:space="preserve">F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Br</w:t>
            </w:r>
            <w:r>
              <w:rPr>
                <w:sz w:val="24"/>
                <w:vertAlign w:val="subscript"/>
              </w:rPr>
              <w:t xml:space="preserve">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(ГБФУ-52B2)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дифтордибромпропан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H</w:t>
            </w:r>
            <w:r>
              <w:rPr>
                <w:sz w:val="24"/>
                <w:vertAlign w:val="subscript"/>
              </w:rPr>
              <w:t xml:space="preserve">4</w:t>
            </w:r>
            <w:r>
              <w:rPr>
                <w:sz w:val="24"/>
              </w:rPr>
              <w:t xml:space="preserve">F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Br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(ГБФУ-53B1)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трифторбромпропан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H</w:t>
            </w:r>
            <w:r>
              <w:rPr>
                <w:sz w:val="24"/>
                <w:vertAlign w:val="subscript"/>
              </w:rPr>
              <w:t xml:space="preserve">5</w:t>
            </w:r>
            <w:r>
              <w:rPr>
                <w:sz w:val="24"/>
              </w:rPr>
              <w:t xml:space="preserve">FBr</w:t>
            </w:r>
            <w:r>
              <w:rPr>
                <w:sz w:val="24"/>
                <w:vertAlign w:val="subscript"/>
              </w:rPr>
              <w:t xml:space="preserve">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(ГБФУ-61B2)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фтордибромпропан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H</w:t>
            </w:r>
            <w:r>
              <w:rPr>
                <w:sz w:val="24"/>
                <w:vertAlign w:val="subscript"/>
              </w:rPr>
              <w:t xml:space="preserve">5</w:t>
            </w:r>
            <w:r>
              <w:rPr>
                <w:sz w:val="24"/>
              </w:rPr>
              <w:t xml:space="preserve">F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Br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(ГБФУ-62B1)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дифторбромпропан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H</w:t>
            </w:r>
            <w:r>
              <w:rPr>
                <w:sz w:val="24"/>
                <w:vertAlign w:val="subscript"/>
              </w:rPr>
              <w:t xml:space="preserve">6</w:t>
            </w:r>
            <w:r>
              <w:rPr>
                <w:sz w:val="24"/>
              </w:rPr>
              <w:t xml:space="preserve">FBr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(ГБФУ-71B1)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фторбромпропан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gridSpan w:val="4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bookmarkStart w:id="479" w:name="P479"/>
          <w:bookmarkEnd w:id="479"/>
          <w:p>
            <w:pPr>
              <w:pStyle w:val="0"/>
              <w:outlineLvl w:val="2"/>
              <w:jc w:val="center"/>
            </w:pPr>
            <w:r>
              <w:rPr>
                <w:sz w:val="24"/>
              </w:rPr>
              <w:t xml:space="preserve">Группа III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CH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BrCl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бромхлорметан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79 300 0</w:t>
            </w:r>
          </w:p>
        </w:tc>
      </w:tr>
      <w:tr>
        <w:tc>
          <w:tcPr>
            <w:gridSpan w:val="4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bookmarkStart w:id="484" w:name="P484"/>
          <w:bookmarkEnd w:id="484"/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IV. Список E</w:t>
            </w:r>
          </w:p>
        </w:tc>
      </w:tr>
      <w:tr>
        <w:tc>
          <w:tcPr>
            <w:gridSpan w:val="4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outlineLvl w:val="2"/>
              <w:jc w:val="center"/>
            </w:pPr>
            <w:r>
              <w:rPr>
                <w:sz w:val="24"/>
              </w:rPr>
              <w:t xml:space="preserve">Группа I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CH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Br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бромистый метил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2903 61 000 0</w:t>
            </w:r>
          </w:p>
        </w:tc>
      </w:tr>
      <w:tr>
        <w:tc>
          <w:tcPr>
            <w:gridSpan w:val="4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bookmarkStart w:id="490" w:name="P490"/>
          <w:bookmarkEnd w:id="490"/>
          <w:p>
            <w:pPr>
              <w:pStyle w:val="0"/>
              <w:outlineLvl w:val="1"/>
              <w:jc w:val="center"/>
            </w:pPr>
            <w:r>
              <w:rPr>
                <w:sz w:val="24"/>
              </w:rPr>
              <w:t xml:space="preserve">V. Список F</w:t>
            </w:r>
          </w:p>
        </w:tc>
      </w:tr>
      <w:tr>
        <w:tc>
          <w:tcPr>
            <w:gridSpan w:val="4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outlineLvl w:val="2"/>
              <w:jc w:val="center"/>
            </w:pPr>
            <w:r>
              <w:rPr>
                <w:sz w:val="24"/>
              </w:rPr>
              <w:t xml:space="preserve">Группа I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CHF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CHF</w:t>
            </w:r>
            <w:r>
              <w:rPr>
                <w:sz w:val="24"/>
                <w:vertAlign w:val="subscript"/>
              </w:rPr>
              <w:t xml:space="preserve">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(ГФУ-134)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1,1,2,2-тетрафторэтан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45 000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CH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FCF</w:t>
            </w:r>
            <w:r>
              <w:rPr>
                <w:sz w:val="24"/>
                <w:vertAlign w:val="subscript"/>
              </w:rPr>
              <w:t xml:space="preserve">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(ГФУ-134a)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1,1,1,2-тетрафторэтан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45 000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CH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FCHF</w:t>
            </w:r>
            <w:r>
              <w:rPr>
                <w:sz w:val="24"/>
                <w:vertAlign w:val="subscript"/>
              </w:rPr>
              <w:t xml:space="preserve">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(ГФУ-143)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1,1,2-трифторэтан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44 000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CHF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CH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CF</w:t>
            </w:r>
            <w:r>
              <w:rPr>
                <w:sz w:val="24"/>
                <w:vertAlign w:val="subscript"/>
              </w:rPr>
              <w:t xml:space="preserve">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(ГФУ-245fa)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1,1,1,3,3-пентафторпропан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47 000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CF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CH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CF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CH</w:t>
            </w:r>
            <w:r>
              <w:rPr>
                <w:sz w:val="24"/>
                <w:vertAlign w:val="subscript"/>
              </w:rPr>
              <w:t xml:space="preserve">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(ГФУ-365mfc)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1,1,1,3,3-пентафторбутан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48 000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CF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CHFCF</w:t>
            </w:r>
            <w:r>
              <w:rPr>
                <w:sz w:val="24"/>
                <w:vertAlign w:val="subscript"/>
              </w:rPr>
              <w:t xml:space="preserve">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(ГФУ-227ea)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1,1,1,2,3,3,3-гептафторпропан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46 000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CH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FCF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CF</w:t>
            </w:r>
            <w:r>
              <w:rPr>
                <w:sz w:val="24"/>
                <w:vertAlign w:val="subscript"/>
              </w:rPr>
              <w:t xml:space="preserve">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(ГФУ-236cb)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1,1,1,2,2,3-гексафторпропан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46 000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CHF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CHFCF</w:t>
            </w:r>
            <w:r>
              <w:rPr>
                <w:sz w:val="24"/>
                <w:vertAlign w:val="subscript"/>
              </w:rPr>
              <w:t xml:space="preserve">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(ГФУ-236ea)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1,1,1,2,3,3-гексафторпропан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46 000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CF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CH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CF</w:t>
            </w:r>
            <w:r>
              <w:rPr>
                <w:sz w:val="24"/>
                <w:vertAlign w:val="subscript"/>
              </w:rPr>
              <w:t xml:space="preserve">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(ГФУ-236fa)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1,1,1,3,3,3-гексафторпропан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46 000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CH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FCF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CHF</w:t>
            </w:r>
            <w:r>
              <w:rPr>
                <w:sz w:val="24"/>
                <w:vertAlign w:val="subscript"/>
              </w:rPr>
              <w:t xml:space="preserve">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(ГФУ-245ca)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1,1,2,2,3-пентафторпропан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47 000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CF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CHFCHF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CF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CF</w:t>
            </w:r>
            <w:r>
              <w:rPr>
                <w:sz w:val="24"/>
                <w:vertAlign w:val="subscript"/>
              </w:rPr>
              <w:t xml:space="preserve">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(ГФУ-43-10mee)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1,1,1,2,2,3,4,5,5,5-декафторпентан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48 000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CH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F</w:t>
            </w:r>
            <w:r>
              <w:rPr>
                <w:sz w:val="24"/>
                <w:vertAlign w:val="subscript"/>
              </w:rPr>
              <w:t xml:space="preserve">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(ГФУ-32)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дифторметан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2903 42 000 0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CHF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CF</w:t>
            </w:r>
            <w:r>
              <w:rPr>
                <w:sz w:val="24"/>
                <w:vertAlign w:val="subscript"/>
              </w:rPr>
              <w:t xml:space="preserve">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(ГФУ-125)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пентафторэтан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44 000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CH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CF</w:t>
            </w:r>
            <w:r>
              <w:rPr>
                <w:sz w:val="24"/>
                <w:vertAlign w:val="subscript"/>
              </w:rPr>
              <w:t xml:space="preserve">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(ГФУ-143a)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1,1,1-трифторэтан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44 000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CH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F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(ГФУ-41)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фторметан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43 000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CH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FCH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F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(ГФУ-152)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1,2-дифторэтан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43 000 0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CH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</w:rPr>
              <w:t xml:space="preserve">CHF</w:t>
            </w:r>
            <w:r>
              <w:rPr>
                <w:sz w:val="24"/>
                <w:vertAlign w:val="subscript"/>
              </w:rPr>
              <w:t xml:space="preserve">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(ГФУ-152a)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1,1-дифторэтан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2903 43 000 0</w:t>
            </w:r>
          </w:p>
        </w:tc>
      </w:tr>
      <w:tr>
        <w:tc>
          <w:tcPr>
            <w:gridSpan w:val="4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outlineLvl w:val="2"/>
              <w:jc w:val="center"/>
            </w:pPr>
            <w:r>
              <w:rPr>
                <w:sz w:val="24"/>
              </w:rPr>
              <w:t xml:space="preserve">Группа II</w:t>
            </w:r>
          </w:p>
        </w:tc>
      </w:tr>
      <w:tr>
        <w:tc>
          <w:tcPr>
            <w:tcW w:w="1814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CHF</w:t>
            </w:r>
            <w:r>
              <w:rPr>
                <w:sz w:val="24"/>
                <w:vertAlign w:val="subscript"/>
              </w:rPr>
              <w:t xml:space="preserve">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(ГФУ-23)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трифторметан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2903 41 000 0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--------------------------------</w:t>
      </w:r>
    </w:p>
    <w:bookmarkStart w:id="568" w:name="P568"/>
    <w:bookmarkEnd w:id="568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&lt;*&gt; Формула не относится к 1,1,2-трихлорэтану.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N 1</w:t>
      </w:r>
    </w:p>
    <w:p>
      <w:pPr>
        <w:pStyle w:val="0"/>
        <w:jc w:val="right"/>
      </w:pPr>
      <w:r>
        <w:rPr>
          <w:sz w:val="24"/>
        </w:rPr>
        <w:t xml:space="preserve">к постановлению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18 февраля 2022 г. N 206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(форма)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КонсультантПлюс: примечание.</w:t>
            </w:r>
          </w:p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Приложение N 1 </w:t>
            </w:r>
            <w:hyperlink w:history="0" w:anchor="P66" w:tooltip="пункта 6 настоящего постановления и приложения N 1 к настоящему постановлению, которые вступают в силу с 1 сентября 2022 г. и действуют 6 лет;">
              <w:r>
                <w:rPr>
                  <w:sz w:val="24"/>
                  <w:color w:val="0000ff"/>
                </w:rPr>
                <w:t xml:space="preserve">вступает</w:t>
              </w:r>
            </w:hyperlink>
            <w:r>
              <w:rPr>
                <w:sz w:val="24"/>
                <w:color w:val="392c69"/>
              </w:rPr>
              <w:t xml:space="preserve"> в силу с 01.09.2022 и действует до 01.09.2028.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bookmarkStart w:id="583" w:name="P583"/>
    <w:bookmarkEnd w:id="583"/>
    <w:p>
      <w:pPr>
        <w:pStyle w:val="0"/>
        <w:spacing w:before="300" w:line-rule="auto"/>
        <w:jc w:val="center"/>
      </w:pPr>
      <w:r>
        <w:rPr>
          <w:sz w:val="24"/>
        </w:rPr>
        <w:t xml:space="preserve">ОТЧЕТНОСТЬ</w:t>
      </w:r>
    </w:p>
    <w:p>
      <w:pPr>
        <w:pStyle w:val="0"/>
        <w:jc w:val="center"/>
      </w:pPr>
      <w:r>
        <w:rPr>
          <w:sz w:val="24"/>
        </w:rPr>
        <w:t xml:space="preserve">о произведенных, использованных, находящихся</w:t>
      </w:r>
    </w:p>
    <w:p>
      <w:pPr>
        <w:pStyle w:val="0"/>
        <w:jc w:val="center"/>
      </w:pPr>
      <w:r>
        <w:rPr>
          <w:sz w:val="24"/>
        </w:rPr>
        <w:t xml:space="preserve">на хранении, рекуперированных, восстановленных,</w:t>
      </w:r>
    </w:p>
    <w:p>
      <w:pPr>
        <w:pStyle w:val="0"/>
        <w:jc w:val="center"/>
      </w:pPr>
      <w:r>
        <w:rPr>
          <w:sz w:val="24"/>
        </w:rPr>
        <w:t xml:space="preserve">рециркулированных и уничтоженных веществах, разрушающих</w:t>
      </w:r>
    </w:p>
    <w:p>
      <w:pPr>
        <w:pStyle w:val="0"/>
        <w:jc w:val="center"/>
      </w:pPr>
      <w:r>
        <w:rPr>
          <w:sz w:val="24"/>
        </w:rPr>
        <w:t xml:space="preserve">озоновый слой, обращение которых подлежит</w:t>
      </w:r>
    </w:p>
    <w:p>
      <w:pPr>
        <w:pStyle w:val="0"/>
        <w:jc w:val="center"/>
      </w:pPr>
      <w:r>
        <w:rPr>
          <w:sz w:val="24"/>
        </w:rPr>
        <w:t xml:space="preserve">государственному регулированию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045"/>
      </w:tblGrid>
      <w:tr>
        <w:tc>
          <w:tcPr>
            <w:tcW w:w="9045" w:type="dxa"/>
            <w:tcBorders>
              <w:left w:val="single" w:sz="4"/>
              <w:right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Наименование юридического лица</w:t>
            </w:r>
          </w:p>
          <w:p>
            <w:pPr>
              <w:pStyle w:val="0"/>
            </w:pPr>
            <w:r>
              <w:rPr>
                <w:sz w:val="24"/>
              </w:rPr>
              <w:t xml:space="preserve">(фамилия, имя, отчество (при наличии) индивидуального предпринимателя), осуществляющего производство, использование, хранение, рекуперацию, восстановление, рециркуляцию (рециркулирование), уничтожение веществ, разрушающих озоновый слой, обращение которых подлежит государственному регулированию (далее - ОРВ), в том числе веществ, включенных в </w:t>
            </w:r>
            <w:hyperlink w:history="0" w:anchor="P490" w:tooltip="V. Список F">
              <w:r>
                <w:rPr>
                  <w:sz w:val="24"/>
                  <w:color w:val="0000ff"/>
                </w:rPr>
                <w:t xml:space="preserve">список F</w:t>
              </w:r>
            </w:hyperlink>
            <w:r>
              <w:rPr>
                <w:sz w:val="24"/>
              </w:rPr>
              <w:t xml:space="preserve"> перечня веществ, разрушающих озоновый слой (далее - ГФУ), на территории Российской Федерации:</w:t>
            </w:r>
          </w:p>
        </w:tc>
      </w:tr>
      <w:tr>
        <w:tc>
          <w:tcPr>
            <w:tcW w:w="9045" w:type="dxa"/>
            <w:tcBorders>
              <w:left w:val="single" w:sz="4"/>
              <w:right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Место нахождения юридического лица</w:t>
            </w:r>
          </w:p>
          <w:p>
            <w:pPr>
              <w:pStyle w:val="0"/>
            </w:pPr>
            <w:r>
              <w:rPr>
                <w:sz w:val="24"/>
              </w:rPr>
              <w:t xml:space="preserve">(место жительства индивидуального предпринимателя):</w:t>
            </w:r>
          </w:p>
        </w:tc>
      </w:tr>
      <w:tr>
        <w:tc>
          <w:tcPr>
            <w:tcW w:w="9045" w:type="dxa"/>
            <w:tcBorders>
              <w:left w:val="single" w:sz="4"/>
              <w:right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Телефон:</w:t>
            </w:r>
          </w:p>
        </w:tc>
      </w:tr>
      <w:tr>
        <w:tc>
          <w:tcPr>
            <w:tcW w:w="9045" w:type="dxa"/>
            <w:tcBorders>
              <w:left w:val="single" w:sz="4"/>
              <w:right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Факс:</w:t>
            </w:r>
          </w:p>
        </w:tc>
      </w:tr>
      <w:tr>
        <w:tc>
          <w:tcPr>
            <w:tcW w:w="9045" w:type="dxa"/>
            <w:tcBorders>
              <w:left w:val="single" w:sz="4"/>
              <w:right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Электронная почта:</w:t>
            </w:r>
          </w:p>
        </w:tc>
      </w:tr>
      <w:tr>
        <w:tc>
          <w:tcPr>
            <w:tcW w:w="9045" w:type="dxa"/>
            <w:tcBorders>
              <w:left w:val="single" w:sz="4"/>
              <w:right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Индивидуальный номер налогоплательщика:</w:t>
            </w:r>
          </w:p>
        </w:tc>
      </w:tr>
      <w:tr>
        <w:tc>
          <w:tcPr>
            <w:tcW w:w="9045" w:type="dxa"/>
            <w:tcBorders>
              <w:left w:val="single" w:sz="4"/>
              <w:right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Код по Общероссийскому классификатору видов экономической деятельности:</w:t>
            </w:r>
          </w:p>
        </w:tc>
      </w:tr>
      <w:tr>
        <w:tc>
          <w:tcPr>
            <w:tcW w:w="9045" w:type="dxa"/>
            <w:vAlign w:val="bottom"/>
            <w:tcBorders>
              <w:left w:val="single" w:sz="4"/>
              <w:right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Номера и даты выдачи лицензий </w:t>
            </w:r>
            <w:hyperlink w:history="0" w:anchor="P604" w:tooltip="&lt;*&gt; Лицензии на ввоз или вывоз ОРВ (при наличии).">
              <w:r>
                <w:rPr>
                  <w:sz w:val="24"/>
                  <w:color w:val="0000ff"/>
                </w:rPr>
                <w:t xml:space="preserve">&lt;*&gt;</w:t>
              </w:r>
            </w:hyperlink>
            <w:r>
              <w:rPr>
                <w:sz w:val="24"/>
              </w:rPr>
              <w:t xml:space="preserve">:</w:t>
            </w:r>
          </w:p>
        </w:tc>
      </w:tr>
      <w:tr>
        <w:tc>
          <w:tcPr>
            <w:tcW w:w="9045" w:type="dxa"/>
            <w:tcBorders>
              <w:left w:val="single" w:sz="4"/>
              <w:right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Краткое описание деятельности (производство, использование, хранение, рекуперация, восстановление, рециркуляция (рециркулирование), использование для производства других химических веществ, уничтожение ОРВ, в том числе ГФУ:</w:t>
            </w:r>
          </w:p>
        </w:tc>
      </w:tr>
      <w:tr>
        <w:tc>
          <w:tcPr>
            <w:tcW w:w="9045" w:type="dxa"/>
            <w:vAlign w:val="bottom"/>
            <w:tcBorders>
              <w:left w:val="single" w:sz="4"/>
              <w:right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Отчетный период: 20__ год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--------------------------------</w:t>
      </w:r>
    </w:p>
    <w:bookmarkStart w:id="604" w:name="P604"/>
    <w:bookmarkEnd w:id="604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&lt;*&gt; Лицензии на ввоз или вывоз ОРВ (при наличии).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center"/>
      </w:pPr>
      <w:r>
        <w:rPr>
          <w:sz w:val="24"/>
        </w:rPr>
        <w:t xml:space="preserve">I. Производство ОРВ, в том числе ГФУ, в 20__ году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735"/>
        <w:gridCol w:w="960"/>
        <w:gridCol w:w="720"/>
        <w:gridCol w:w="1080"/>
        <w:gridCol w:w="880"/>
        <w:gridCol w:w="1107"/>
        <w:gridCol w:w="758"/>
        <w:gridCol w:w="758"/>
        <w:gridCol w:w="877"/>
        <w:gridCol w:w="1170"/>
      </w:tblGrid>
      <w:tr>
        <w:tc>
          <w:tcPr>
            <w:tcW w:w="735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Наименования ОРВ, в том числе ГФУ</w:t>
            </w:r>
          </w:p>
        </w:tc>
        <w:tc>
          <w:tcPr>
            <w:tcW w:w="96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Остаток ОРВ (кг), в том числе ГФУ (тонн эквивалента CO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), на начало года</w:t>
            </w:r>
          </w:p>
        </w:tc>
        <w:tc>
          <w:tcPr>
            <w:tcW w:w="72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Произведено ОРВ (кг), в том числе ГФУ (тонн эквивалента CO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)</w:t>
            </w:r>
          </w:p>
        </w:tc>
        <w:tc>
          <w:tcPr>
            <w:gridSpan w:val="2"/>
            <w:tcW w:w="196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Использовано ОРВ, в том числе ГФУ, в качестве сырья</w:t>
            </w:r>
          </w:p>
        </w:tc>
        <w:tc>
          <w:tcPr>
            <w:gridSpan w:val="3"/>
            <w:tcW w:w="262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Реализовано ОРВ, в том числе ГФУ, включая реализацию на экспорт</w:t>
            </w:r>
          </w:p>
        </w:tc>
        <w:tc>
          <w:tcPr>
            <w:tcW w:w="8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Остаток ОРВ (кг), в том числе ГФУ (тонн эквивалента CO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), на конец года</w:t>
            </w:r>
          </w:p>
        </w:tc>
        <w:tc>
          <w:tcPr>
            <w:tcW w:w="117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Количество ОРВ (кг), в том числе ГФУ (тонн эквивалента CO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), планируемое к производству в следующем году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Количество ОРВ (кг), в том числе ГФУ (тонн эквивалента CO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)</w:t>
            </w:r>
          </w:p>
        </w:tc>
        <w:tc>
          <w:tcPr>
            <w:tcW w:w="8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Технологический процесс</w:t>
            </w:r>
          </w:p>
        </w:tc>
        <w:tc>
          <w:tcPr>
            <w:tcW w:w="11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Количество ОРВ (кг), в том числе ГФУ (тонн эквивалента CO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)</w:t>
            </w:r>
          </w:p>
        </w:tc>
        <w:tc>
          <w:tcPr>
            <w:tcW w:w="75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Страна - получатель ОРВ, в том числе ГФУ</w:t>
            </w:r>
          </w:p>
        </w:tc>
        <w:tc>
          <w:tcPr>
            <w:tcW w:w="75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фирмы-покупателя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tcW w:w="7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96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7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8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75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75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8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17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</w:tr>
      <w:tr>
        <w:tc>
          <w:tcPr>
            <w:tcW w:w="73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7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73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7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73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7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73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7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73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7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385"/>
        <w:gridCol w:w="340"/>
        <w:gridCol w:w="2360"/>
        <w:gridCol w:w="340"/>
        <w:gridCol w:w="1757"/>
        <w:gridCol w:w="340"/>
        <w:gridCol w:w="1531"/>
      </w:tblGrid>
      <w:tr>
        <w:tc>
          <w:tcPr>
            <w:tcW w:w="2385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Руководитель юридического лица (индивидуальный предприниматель)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60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57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31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60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(ф.и.о.)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57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31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(дата)</w:t>
            </w:r>
          </w:p>
        </w:tc>
      </w:tr>
      <w:tr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М.П.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center"/>
      </w:pPr>
      <w:r>
        <w:rPr>
          <w:sz w:val="24"/>
        </w:rPr>
        <w:t xml:space="preserve">II. Рекуперация, восстановление и уничтожение ОРВ, в том</w:t>
      </w:r>
    </w:p>
    <w:p>
      <w:pPr>
        <w:pStyle w:val="0"/>
        <w:jc w:val="center"/>
      </w:pPr>
      <w:r>
        <w:rPr>
          <w:sz w:val="24"/>
        </w:rPr>
        <w:t xml:space="preserve">числе ГФУ, в 20__ году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40"/>
        <w:gridCol w:w="900"/>
        <w:gridCol w:w="1070"/>
        <w:gridCol w:w="1045"/>
        <w:gridCol w:w="978"/>
        <w:gridCol w:w="990"/>
        <w:gridCol w:w="1110"/>
        <w:gridCol w:w="1050"/>
        <w:gridCol w:w="1077"/>
      </w:tblGrid>
      <w:tr>
        <w:tc>
          <w:tcPr>
            <w:tcW w:w="8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Наименования ОРВ, в том числе ГФУ</w:t>
            </w:r>
          </w:p>
        </w:tc>
        <w:tc>
          <w:tcPr>
            <w:tcW w:w="90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Рекуперировано ОРВ (кг), в том числе ГФУ (тонн эквивалента CO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)</w:t>
            </w:r>
          </w:p>
        </w:tc>
        <w:tc>
          <w:tcPr>
            <w:gridSpan w:val="2"/>
            <w:tcW w:w="211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Реализовано рекуперированных ОРВ, в том числе ГФУ</w:t>
            </w:r>
          </w:p>
        </w:tc>
        <w:tc>
          <w:tcPr>
            <w:tcW w:w="97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Восстановлено ОРВ (кг), в том числе ГФУ (тонн эквивалента CO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)</w:t>
            </w:r>
          </w:p>
        </w:tc>
        <w:tc>
          <w:tcPr>
            <w:gridSpan w:val="2"/>
            <w:tcW w:w="210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Реализовано восстановленных ОРВ, в том числе ГФУ</w:t>
            </w:r>
          </w:p>
        </w:tc>
        <w:tc>
          <w:tcPr>
            <w:gridSpan w:val="2"/>
            <w:tcW w:w="212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Уничтожено ОРВ, в том числе ГФУ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7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Количество ОРВ (кг), в том числе ГФУ (тонн эквивалента CO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)</w:t>
            </w:r>
          </w:p>
        </w:tc>
        <w:tc>
          <w:tcPr>
            <w:tcW w:w="10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Покупатель ОРВ, в том числе ГФУ, ИНН покупателя ОРВ, в том числе ГФУ</w:t>
            </w:r>
          </w:p>
        </w:tc>
        <w:tc>
          <w:tcPr>
            <w:vMerge w:val="continue"/>
          </w:tcPr>
          <w:p/>
        </w:tc>
        <w:tc>
          <w:tcPr>
            <w:tcW w:w="99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Количество ОРВ (кг), в том числе ГФУ (тонн эквивалента CO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)</w:t>
            </w:r>
          </w:p>
        </w:tc>
        <w:tc>
          <w:tcPr>
            <w:tcW w:w="11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Покупатель ОРВ, в том числе ГФУ, ИНН покупателя ОРВ, в том числе ГФУ</w:t>
            </w:r>
          </w:p>
        </w:tc>
        <w:tc>
          <w:tcPr>
            <w:tcW w:w="10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Количество ОРВ (кг), в том числе ГФУ (тонн эквивалента CO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)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Технология, с помощью которой было произведено уничтожение </w:t>
            </w:r>
            <w:hyperlink w:history="0" w:anchor="P747" w:tooltip="&lt;*&gt; Перечень технологий, утвержденных Сторонами Монреальского протокола по веществам, разрушающим озоновый слой, от 16 сентября 1987 г.">
              <w:r>
                <w:rPr>
                  <w:sz w:val="24"/>
                  <w:color w:val="0000ff"/>
                </w:rPr>
                <w:t xml:space="preserve">&lt;*&gt;</w:t>
              </w:r>
            </w:hyperlink>
          </w:p>
        </w:tc>
      </w:tr>
      <w:tr>
        <w:tc>
          <w:tcPr>
            <w:tcW w:w="8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90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7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97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99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8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4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7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8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4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7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--------------------------------</w:t>
      </w:r>
    </w:p>
    <w:bookmarkStart w:id="747" w:name="P747"/>
    <w:bookmarkEnd w:id="747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&lt;*&gt; Перечень технологий, утвержденных Сторонами Монреальского протокола по веществам, разрушающим озоновый слой, от 16 сентября 1987 г.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385"/>
        <w:gridCol w:w="340"/>
        <w:gridCol w:w="2360"/>
        <w:gridCol w:w="340"/>
        <w:gridCol w:w="1757"/>
        <w:gridCol w:w="340"/>
        <w:gridCol w:w="1531"/>
      </w:tblGrid>
      <w:tr>
        <w:tc>
          <w:tcPr>
            <w:tcW w:w="2385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Руководитель юридического лица (индивидуальный предприниматель)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60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57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31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60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(ф.и.о.)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57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31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(дата)</w:t>
            </w:r>
          </w:p>
        </w:tc>
      </w:tr>
      <w:tr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М.П.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center"/>
      </w:pPr>
      <w:r>
        <w:rPr>
          <w:sz w:val="24"/>
        </w:rPr>
        <w:t xml:space="preserve">III. Хранение ОРВ и ГФУ в 20__ году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85"/>
        <w:gridCol w:w="1800"/>
        <w:gridCol w:w="1129"/>
        <w:gridCol w:w="960"/>
        <w:gridCol w:w="840"/>
        <w:gridCol w:w="1290"/>
        <w:gridCol w:w="1826"/>
      </w:tblGrid>
      <w:tr>
        <w:tc>
          <w:tcPr>
            <w:tcW w:w="118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Наименования ОРВ, в том числе ГФУ</w:t>
            </w:r>
          </w:p>
        </w:tc>
        <w:tc>
          <w:tcPr>
            <w:tcW w:w="180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Количество ОРВ (кг), в том числе ГФУ (тонн эквивалента CO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), находящихся на хранении, на начало года</w:t>
            </w:r>
          </w:p>
        </w:tc>
        <w:tc>
          <w:tcPr>
            <w:tcW w:w="11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Реализовано ОРВ (кг), в том числе ГФУ (тонн эквивалента CO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)</w:t>
            </w:r>
          </w:p>
        </w:tc>
        <w:tc>
          <w:tcPr>
            <w:tcW w:w="96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Покупатель ОРВ, в том числе ГФУ</w:t>
            </w:r>
          </w:p>
        </w:tc>
        <w:tc>
          <w:tcPr>
            <w:tcW w:w="8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ИНН покупателя ОРВ, в том числе ГФУ</w:t>
            </w:r>
          </w:p>
        </w:tc>
        <w:tc>
          <w:tcPr>
            <w:tcW w:w="129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Безвозвратные потери ОРВ, в том числе ГФУ, при хранении</w:t>
            </w:r>
          </w:p>
        </w:tc>
        <w:tc>
          <w:tcPr>
            <w:tcW w:w="182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Количество ОРВ (кг), в том числе ГФУ (тонн эквивалента CO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), находящихся на хранении, на конец года</w:t>
            </w:r>
          </w:p>
        </w:tc>
      </w:tr>
      <w:tr>
        <w:tc>
          <w:tcPr>
            <w:tcW w:w="118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80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1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96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8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29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82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</w:tr>
      <w:tr>
        <w:tc>
          <w:tcPr>
            <w:tcW w:w="118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0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2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2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18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0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2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2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18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0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2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2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18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0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2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2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18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0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2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2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18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0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2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2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18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0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2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2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385"/>
        <w:gridCol w:w="340"/>
        <w:gridCol w:w="2360"/>
        <w:gridCol w:w="340"/>
        <w:gridCol w:w="1757"/>
        <w:gridCol w:w="340"/>
        <w:gridCol w:w="1531"/>
      </w:tblGrid>
      <w:tr>
        <w:tc>
          <w:tcPr>
            <w:tcW w:w="2385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Руководитель юридического лица (индивидуальный предприниматель)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60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57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31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60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(ф.и.о.)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57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31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(дата)</w:t>
            </w:r>
          </w:p>
        </w:tc>
      </w:tr>
      <w:tr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М.П.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center"/>
      </w:pPr>
      <w:r>
        <w:rPr>
          <w:sz w:val="24"/>
        </w:rPr>
        <w:t xml:space="preserve">IV. Рециркуляция (рециркулирование) ОРВ и ГФУ в 20__ году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10"/>
        <w:gridCol w:w="1530"/>
        <w:gridCol w:w="1229"/>
        <w:gridCol w:w="1306"/>
        <w:gridCol w:w="780"/>
        <w:gridCol w:w="840"/>
        <w:gridCol w:w="1065"/>
        <w:gridCol w:w="1500"/>
      </w:tblGrid>
      <w:tr>
        <w:tc>
          <w:tcPr>
            <w:tcW w:w="8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Наименования ОРВ, в том числе ГФУ</w:t>
            </w:r>
          </w:p>
        </w:tc>
        <w:tc>
          <w:tcPr>
            <w:tcW w:w="153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Количество рециркулированных ОРВ (кг), в том числе ГФУ (тонн эквивалента CO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), на начало года</w:t>
            </w:r>
          </w:p>
        </w:tc>
        <w:tc>
          <w:tcPr>
            <w:tcW w:w="12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Рециркулировано ОРВ (кг), в том числе ГФУ (тонн эквивалента CO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), в отчетном году</w:t>
            </w:r>
          </w:p>
        </w:tc>
        <w:tc>
          <w:tcPr>
            <w:tcW w:w="130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Реализовано рециркулированных ОРВ (кг), в том числе ГФУ (тонн эквивалента CO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)</w:t>
            </w:r>
          </w:p>
        </w:tc>
        <w:tc>
          <w:tcPr>
            <w:tcW w:w="7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Покупатель ОРВ, в том числе ГФУ</w:t>
            </w:r>
          </w:p>
        </w:tc>
        <w:tc>
          <w:tcPr>
            <w:tcW w:w="8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ИНН покупателя ОРВ, в том числе ГФУ</w:t>
            </w:r>
          </w:p>
        </w:tc>
        <w:tc>
          <w:tcPr>
            <w:tcW w:w="10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Безвозвратные потери ОРВ, в том числе ГФУ, при рециркуляции</w:t>
            </w:r>
          </w:p>
        </w:tc>
        <w:tc>
          <w:tcPr>
            <w:tcW w:w="150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Количество рециркулированных ОРВ (кг), в том числе ГФУ (тонн эквивалента CO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), на конец года</w:t>
            </w:r>
          </w:p>
        </w:tc>
      </w:tr>
      <w:tr>
        <w:tc>
          <w:tcPr>
            <w:tcW w:w="8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53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2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30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7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8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50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</w:tr>
      <w:tr>
        <w:tc>
          <w:tcPr>
            <w:tcW w:w="8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2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6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0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8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2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6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0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8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2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6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0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8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2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6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0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8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2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6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0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385"/>
        <w:gridCol w:w="340"/>
        <w:gridCol w:w="2360"/>
        <w:gridCol w:w="340"/>
        <w:gridCol w:w="1757"/>
        <w:gridCol w:w="340"/>
        <w:gridCol w:w="1531"/>
      </w:tblGrid>
      <w:tr>
        <w:tc>
          <w:tcPr>
            <w:tcW w:w="2385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Руководитель юридического лица (индивидуальный предприниматель)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60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57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31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60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(ф.и.о.)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57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31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(дата)</w:t>
            </w:r>
          </w:p>
        </w:tc>
      </w:tr>
      <w:tr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М.П.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center"/>
      </w:pPr>
      <w:r>
        <w:rPr>
          <w:sz w:val="24"/>
        </w:rPr>
        <w:t xml:space="preserve">V. Использование ОРВ и ГФУ в 20__ году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10"/>
        <w:gridCol w:w="1080"/>
        <w:gridCol w:w="1229"/>
        <w:gridCol w:w="1306"/>
        <w:gridCol w:w="780"/>
        <w:gridCol w:w="1275"/>
        <w:gridCol w:w="1065"/>
        <w:gridCol w:w="1500"/>
      </w:tblGrid>
      <w:tr>
        <w:tc>
          <w:tcPr>
            <w:tcW w:w="81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Наименования ОРВ, в том числе ГФУ</w:t>
            </w:r>
          </w:p>
        </w:tc>
        <w:tc>
          <w:tcPr>
            <w:tcW w:w="108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Остаток ОРВ (кг), в том числе ГФУ (тонн эквивалента CO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), на начало года</w:t>
            </w:r>
          </w:p>
        </w:tc>
        <w:tc>
          <w:tcPr>
            <w:gridSpan w:val="2"/>
            <w:tcW w:w="25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Закуплено ОРВ, в том числе ГФУ, в отчетном году</w:t>
            </w:r>
          </w:p>
        </w:tc>
        <w:tc>
          <w:tcPr>
            <w:gridSpan w:val="2"/>
            <w:tcW w:w="205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Использовано ОРВ, в том числе ГФУ, в отчетном году</w:t>
            </w:r>
          </w:p>
        </w:tc>
        <w:tc>
          <w:tcPr>
            <w:tcW w:w="1065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Остаток ОРВ (кг), в том числе ГФУ (тонн эквивалента CO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), на конец года</w:t>
            </w:r>
          </w:p>
        </w:tc>
        <w:tc>
          <w:tcPr>
            <w:tcW w:w="150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Количество ОРВ (кг), в том числе ГФУ (тонн эквивалента CO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), планируемое к закупке в следующем году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Количество ОРВ (кг), в том числе ГФУ (тонн эквивалента CO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)</w:t>
            </w:r>
          </w:p>
        </w:tc>
        <w:tc>
          <w:tcPr>
            <w:tcW w:w="130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Продавец ОРВ, в том числе ГФУ, ИНН продавца ОРВ, в том числе ГФУ</w:t>
            </w:r>
          </w:p>
        </w:tc>
        <w:tc>
          <w:tcPr>
            <w:tcW w:w="7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Технологический процесс</w:t>
            </w:r>
          </w:p>
        </w:tc>
        <w:tc>
          <w:tcPr>
            <w:tcW w:w="127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Количество ОРВ (кг), в том числе ГФУ (тонн эквивалента CO</w:t>
            </w:r>
            <w:r>
              <w:rPr>
                <w:sz w:val="24"/>
                <w:vertAlign w:val="subscript"/>
              </w:rPr>
              <w:t xml:space="preserve">2</w:t>
            </w:r>
            <w:r>
              <w:rPr>
                <w:sz w:val="24"/>
              </w:rPr>
              <w:t xml:space="preserve">)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tcW w:w="8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2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30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7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27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50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</w:tr>
      <w:tr>
        <w:tc>
          <w:tcPr>
            <w:tcW w:w="8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2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7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6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0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8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2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7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6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0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8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2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7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6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0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8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2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7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6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0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8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2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7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6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0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8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2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7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6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0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385"/>
        <w:gridCol w:w="340"/>
        <w:gridCol w:w="2360"/>
        <w:gridCol w:w="340"/>
        <w:gridCol w:w="1757"/>
        <w:gridCol w:w="340"/>
        <w:gridCol w:w="1531"/>
      </w:tblGrid>
      <w:tr>
        <w:tc>
          <w:tcPr>
            <w:tcW w:w="2385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Руководитель юридического лица (индивидуальный предприниматель)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60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57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31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60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(ф.и.о.)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57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31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(дата)</w:t>
            </w:r>
          </w:p>
        </w:tc>
      </w:tr>
      <w:tr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М.П.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N 2</w:t>
      </w:r>
    </w:p>
    <w:p>
      <w:pPr>
        <w:pStyle w:val="0"/>
        <w:jc w:val="right"/>
      </w:pPr>
      <w:r>
        <w:rPr>
          <w:sz w:val="24"/>
        </w:rPr>
        <w:t xml:space="preserve">к постановлению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18 февраля 2022 г. N 206</w:t>
      </w:r>
    </w:p>
    <w:p>
      <w:pPr>
        <w:pStyle w:val="0"/>
        <w:jc w:val="both"/>
      </w:pPr>
      <w:r>
        <w:rPr>
          <w:sz w:val="24"/>
        </w:rPr>
      </w:r>
    </w:p>
    <w:bookmarkStart w:id="1040" w:name="P1040"/>
    <w:bookmarkEnd w:id="1040"/>
    <w:p>
      <w:pPr>
        <w:pStyle w:val="2"/>
        <w:jc w:val="center"/>
      </w:pPr>
      <w:r>
        <w:rPr>
          <w:sz w:val="24"/>
        </w:rPr>
        <w:t xml:space="preserve">ЗНАЧЕНИЯ</w:t>
      </w:r>
    </w:p>
    <w:p>
      <w:pPr>
        <w:pStyle w:val="2"/>
        <w:jc w:val="center"/>
      </w:pPr>
      <w:r>
        <w:rPr>
          <w:sz w:val="24"/>
        </w:rPr>
        <w:t xml:space="preserve">ПОТЕНЦИАЛА ГЛОБАЛЬНОГО ПОТЕПЛЕНИЯ ДЛЯ ПЕРЕВОДА ОБЪЕМОВ</w:t>
      </w:r>
    </w:p>
    <w:p>
      <w:pPr>
        <w:pStyle w:val="2"/>
        <w:jc w:val="center"/>
      </w:pPr>
      <w:r>
        <w:rPr>
          <w:sz w:val="24"/>
        </w:rPr>
        <w:t xml:space="preserve">ВЕЩЕСТВ, ВКЛЮЧЕННЫХ В СПИСОК F ПЕРЕЧНЯ ВЕЩЕСТВ, РАЗРУШАЮЩИХ</w:t>
      </w:r>
    </w:p>
    <w:p>
      <w:pPr>
        <w:pStyle w:val="2"/>
        <w:jc w:val="center"/>
      </w:pPr>
      <w:r>
        <w:rPr>
          <w:sz w:val="24"/>
        </w:rPr>
        <w:t xml:space="preserve">ОЗОНОВЫЙ СЛОЙ, ОБРАЩЕНИЕ КОТОРЫХ ПОДЛЕЖИТ ГОСУДАРСТВЕННОМУ</w:t>
      </w:r>
    </w:p>
    <w:p>
      <w:pPr>
        <w:pStyle w:val="2"/>
        <w:jc w:val="center"/>
      </w:pPr>
      <w:r>
        <w:rPr>
          <w:sz w:val="24"/>
        </w:rPr>
        <w:t xml:space="preserve">РЕГУЛИРОВАНИЮ, ИЗ НАТУРАЛЬНЫХ ОБЪЕМОВ В ОБЪЕМЫ CO</w:t>
      </w:r>
      <w:r>
        <w:rPr>
          <w:sz w:val="24"/>
          <w:vertAlign w:val="subscript"/>
        </w:rPr>
        <w:t xml:space="preserve">2</w:t>
      </w:r>
      <w:r>
        <w:rPr>
          <w:sz w:val="24"/>
        </w:rPr>
        <w:t xml:space="preserve"> </w:t>
      </w:r>
      <w:hyperlink w:history="0" w:anchor="P1086" w:tooltip="&lt;*&gt; В соответствии с поправкой к Монреальскому протоколу по веществам, разрушающим озоновый слой, принятой на двадцать восьмом совещании Сторон Монреальского протокола (г. Кигали, Руанда, 15 октября 2016 г.).">
        <w:r>
          <w:rPr>
            <w:sz w:val="24"/>
            <w:color w:val="0000ff"/>
          </w:rPr>
          <w:t xml:space="preserve">&lt;*&gt;</w:t>
        </w:r>
      </w:hyperlink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bottom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34"/>
        <w:gridCol w:w="4535"/>
      </w:tblGrid>
      <w:tr>
        <w:tblPrEx>
          <w:tblBorders>
            <w:insideV w:val="single" w:sz="4"/>
            <w:insideH w:val="single" w:sz="4"/>
          </w:tblBorders>
        </w:tblPrEx>
        <w:tc>
          <w:tcPr>
            <w:tcW w:w="4534" w:type="dxa"/>
            <w:tcBorders>
              <w:top w:val="single" w:sz="4"/>
              <w:left w:val="nil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вещества</w:t>
            </w:r>
          </w:p>
        </w:tc>
        <w:tc>
          <w:tcPr>
            <w:tcW w:w="4535" w:type="dxa"/>
            <w:tcBorders>
              <w:top w:val="single" w:sz="4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Значение потенциала глобального потепления</w:t>
            </w:r>
          </w:p>
        </w:tc>
      </w:tr>
      <w:tr>
        <w:tc>
          <w:tcPr>
            <w:tcW w:w="4534" w:type="dxa"/>
            <w:vAlign w:val="bottom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ГФУ-134</w:t>
            </w:r>
          </w:p>
        </w:tc>
        <w:tc>
          <w:tcPr>
            <w:tcW w:w="4535" w:type="dxa"/>
            <w:vAlign w:val="bottom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1100</w:t>
            </w:r>
          </w:p>
        </w:tc>
      </w:tr>
      <w:t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ГФУ-134a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1430</w:t>
            </w:r>
          </w:p>
        </w:tc>
      </w:tr>
      <w:tr>
        <w:tc>
          <w:tcPr>
            <w:tcW w:w="4534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ГФУ-143</w:t>
            </w:r>
          </w:p>
        </w:tc>
        <w:tc>
          <w:tcPr>
            <w:tcW w:w="4535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353</w:t>
            </w:r>
          </w:p>
        </w:tc>
      </w:tr>
      <w:t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ГФУ-245fa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1030</w:t>
            </w:r>
          </w:p>
        </w:tc>
      </w:tr>
      <w:t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ГФУ-365mfc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794</w:t>
            </w:r>
          </w:p>
        </w:tc>
      </w:tr>
      <w:t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ГФУ-227ea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3220</w:t>
            </w:r>
          </w:p>
        </w:tc>
      </w:tr>
      <w:t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ГФУ-236cb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1340</w:t>
            </w:r>
          </w:p>
        </w:tc>
      </w:tr>
      <w:tr>
        <w:tc>
          <w:tcPr>
            <w:tcW w:w="4534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ГФУ-236ea</w:t>
            </w:r>
          </w:p>
        </w:tc>
        <w:tc>
          <w:tcPr>
            <w:tcW w:w="4535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1370</w:t>
            </w:r>
          </w:p>
        </w:tc>
      </w:tr>
      <w:t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ГФУ-236fa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9810</w:t>
            </w:r>
          </w:p>
        </w:tc>
      </w:tr>
      <w:t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ГФУ-245ca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693</w:t>
            </w:r>
          </w:p>
        </w:tc>
      </w:tr>
      <w:t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ГФУ-43-10mee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1640</w:t>
            </w:r>
          </w:p>
        </w:tc>
      </w:tr>
      <w:tr>
        <w:tc>
          <w:tcPr>
            <w:tcW w:w="4534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ГФУ-32</w:t>
            </w:r>
          </w:p>
        </w:tc>
        <w:tc>
          <w:tcPr>
            <w:tcW w:w="4535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675</w:t>
            </w:r>
          </w:p>
        </w:tc>
      </w:tr>
      <w:tr>
        <w:tc>
          <w:tcPr>
            <w:tcW w:w="4534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ГФУ-125</w:t>
            </w:r>
          </w:p>
        </w:tc>
        <w:tc>
          <w:tcPr>
            <w:tcW w:w="4535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3500</w:t>
            </w:r>
          </w:p>
        </w:tc>
      </w:tr>
      <w:tr>
        <w:tc>
          <w:tcPr>
            <w:tcW w:w="4534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ГФУ-143a</w:t>
            </w:r>
          </w:p>
        </w:tc>
        <w:tc>
          <w:tcPr>
            <w:tcW w:w="4535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4470</w:t>
            </w:r>
          </w:p>
        </w:tc>
      </w:tr>
      <w:tr>
        <w:tc>
          <w:tcPr>
            <w:tcW w:w="4534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ГФУ-41</w:t>
            </w:r>
          </w:p>
        </w:tc>
        <w:tc>
          <w:tcPr>
            <w:tcW w:w="4535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</w:t>
            </w:r>
          </w:p>
        </w:tc>
      </w:tr>
      <w:tr>
        <w:tc>
          <w:tcPr>
            <w:tcW w:w="4534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ГФУ-152</w:t>
            </w:r>
          </w:p>
        </w:tc>
        <w:tc>
          <w:tcPr>
            <w:tcW w:w="4535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</w:t>
            </w:r>
          </w:p>
        </w:tc>
      </w:tr>
      <w:t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ГФУ-152a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</w:t>
            </w:r>
          </w:p>
        </w:tc>
      </w:tr>
      <w:tr>
        <w:tc>
          <w:tcPr>
            <w:tcW w:w="4534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ГФУ-23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14800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--------------------------------</w:t>
      </w:r>
    </w:p>
    <w:bookmarkStart w:id="1086" w:name="P1086"/>
    <w:bookmarkEnd w:id="1086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&lt;*&gt; В соответствии с поправкой к Монреальскому протоколу по веществам, разрушающим озоновый слой, принятой на двадцать восьмом совещании Сторон Монреальского протокола (г. Кигали, Руанда, 15 октября 2016 г.).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N 3</w:t>
      </w:r>
    </w:p>
    <w:p>
      <w:pPr>
        <w:pStyle w:val="0"/>
        <w:jc w:val="right"/>
      </w:pPr>
      <w:r>
        <w:rPr>
          <w:sz w:val="24"/>
        </w:rPr>
        <w:t xml:space="preserve">к постановлению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18 февраля 2022 г. N 206</w:t>
      </w:r>
    </w:p>
    <w:p>
      <w:pPr>
        <w:pStyle w:val="0"/>
        <w:jc w:val="both"/>
      </w:pPr>
      <w:r>
        <w:rPr>
          <w:sz w:val="24"/>
        </w:rPr>
      </w:r>
    </w:p>
    <w:bookmarkStart w:id="1097" w:name="P1097"/>
    <w:bookmarkEnd w:id="1097"/>
    <w:p>
      <w:pPr>
        <w:pStyle w:val="2"/>
        <w:jc w:val="center"/>
      </w:pPr>
      <w:r>
        <w:rPr>
          <w:sz w:val="24"/>
        </w:rPr>
        <w:t xml:space="preserve">ПЕРЕЧЕНЬ</w:t>
      </w:r>
    </w:p>
    <w:p>
      <w:pPr>
        <w:pStyle w:val="2"/>
        <w:jc w:val="center"/>
      </w:pPr>
      <w:r>
        <w:rPr>
          <w:sz w:val="24"/>
        </w:rPr>
        <w:t xml:space="preserve">УТРАТИВШИХ СИЛУ АКТОВ И ОТДЕЛЬНЫХ ПОЛОЖЕНИЙ АКТОВ</w:t>
      </w:r>
    </w:p>
    <w:p>
      <w:pPr>
        <w:pStyle w:val="2"/>
        <w:jc w:val="center"/>
      </w:pPr>
      <w:r>
        <w:rPr>
          <w:sz w:val="24"/>
        </w:rPr>
        <w:t xml:space="preserve">ПРАВИТЕЛЬСТВА РОССИЙСКОЙ ФЕДЕРАЦИИ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</w:t>
      </w: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Российской Федерации от 24 марта 2014 г. N 228 "О мерах государственного регулирования потребления и обращения веществ, разрушающих озоновый слой" (Собрание законодательства Российской Федерации, 2014, N 13, ст. 1484), за исключением </w:t>
      </w:r>
      <w:r>
        <w:rPr>
          <w:sz w:val="24"/>
        </w:rPr>
        <w:t xml:space="preserve">пункта 6</w:t>
      </w:r>
      <w:r>
        <w:rPr>
          <w:sz w:val="24"/>
        </w:rPr>
        <w:t xml:space="preserve"> и </w:t>
      </w:r>
      <w:r>
        <w:rPr>
          <w:sz w:val="24"/>
        </w:rPr>
        <w:t xml:space="preserve">приложения N 1</w:t>
      </w:r>
      <w:r>
        <w:rPr>
          <w:sz w:val="24"/>
        </w:rPr>
        <w:t xml:space="preserve"> к указанному постановлению.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КонсультантПлюс: примечание.</w:t>
            </w:r>
          </w:p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П. 2 </w:t>
            </w:r>
            <w:hyperlink w:history="0" w:anchor="P67" w:tooltip="пунктов 2 и 3 приложения N 3 к настоящему постановлению, которые вступают в силу с 1 сентября 2022 г.">
              <w:r>
                <w:rPr>
                  <w:sz w:val="24"/>
                  <w:color w:val="0000ff"/>
                </w:rPr>
                <w:t xml:space="preserve">вступает</w:t>
              </w:r>
            </w:hyperlink>
            <w:r>
              <w:rPr>
                <w:sz w:val="24"/>
                <w:color w:val="392c69"/>
              </w:rPr>
              <w:t xml:space="preserve"> в силу с 01.09.2022.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bookmarkStart w:id="1104" w:name="P1104"/>
    <w:bookmarkEnd w:id="1104"/>
    <w:p>
      <w:pPr>
        <w:pStyle w:val="0"/>
        <w:spacing w:before="300" w:line-rule="auto"/>
        <w:ind w:firstLine="540"/>
        <w:jc w:val="both"/>
      </w:pPr>
      <w:r>
        <w:rPr>
          <w:sz w:val="24"/>
        </w:rPr>
        <w:t xml:space="preserve">2. </w:t>
      </w:r>
      <w:r>
        <w:rPr>
          <w:sz w:val="24"/>
        </w:rPr>
        <w:t xml:space="preserve">Пункт 6</w:t>
      </w:r>
      <w:r>
        <w:rPr>
          <w:sz w:val="24"/>
        </w:rPr>
        <w:t xml:space="preserve"> постановления Правительства Российской Федерации от 24 марта 2014 г. N 228 "О мерах государственного регулирования потребления и обращения веществ, разрушающих озоновый слой" (Собрание законодательства Российской Федерации, 2014, N 13, ст. 1484) и </w:t>
      </w:r>
      <w:r>
        <w:rPr>
          <w:sz w:val="24"/>
        </w:rPr>
        <w:t xml:space="preserve">приложение N 1</w:t>
      </w:r>
      <w:r>
        <w:rPr>
          <w:sz w:val="24"/>
        </w:rPr>
        <w:t xml:space="preserve"> к указанному постановлению.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КонсультантПлюс: примечание.</w:t>
            </w:r>
          </w:p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П. 3 </w:t>
            </w:r>
            <w:hyperlink w:history="0" w:anchor="P67" w:tooltip="пунктов 2 и 3 приложения N 3 к настоящему постановлению, которые вступают в силу с 1 сентября 2022 г.">
              <w:r>
                <w:rPr>
                  <w:sz w:val="24"/>
                  <w:color w:val="0000ff"/>
                </w:rPr>
                <w:t xml:space="preserve">вступает</w:t>
              </w:r>
            </w:hyperlink>
            <w:r>
              <w:rPr>
                <w:sz w:val="24"/>
                <w:color w:val="392c69"/>
              </w:rPr>
              <w:t xml:space="preserve"> в силу с 01.09.2022.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bookmarkStart w:id="1107" w:name="P1107"/>
    <w:bookmarkEnd w:id="1107"/>
    <w:p>
      <w:pPr>
        <w:pStyle w:val="0"/>
        <w:spacing w:before="300" w:line-rule="auto"/>
        <w:ind w:firstLine="540"/>
        <w:jc w:val="both"/>
      </w:pPr>
      <w:r>
        <w:rPr>
          <w:sz w:val="24"/>
        </w:rPr>
        <w:t xml:space="preserve">3. </w:t>
      </w: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Российской Федерации от 20 ноября 2014 г. N 1229 "О внесении изменений в постановление Правительства Российской Федерации от 24 марта 2014 г. N 228" (Собрание законодательства Российской Федерации, 2014, N 48, ст. 6866).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</w:t>
      </w:r>
      <w:r>
        <w:rPr>
          <w:sz w:val="24"/>
        </w:rPr>
        <w:t xml:space="preserve">Пункт 14</w:t>
      </w:r>
      <w:r>
        <w:rPr>
          <w:sz w:val="24"/>
        </w:rPr>
        <w:t xml:space="preserve"> изменений, которые вносятся в акты Правительства Российской Федерации в целях актуализации кодов единой Товарной номенклатуры внешнеэкономической деятельности Евразийского экономического союза, утвержденных постановлением Правительства Российской Федерации от 20 марта 2018 г. N 307 "О внесении изменений в некоторые акты Правительства Российской Федерации в целях актуализации кодов единой Товарной номенклатуры внешнеэкономической деятельности Евразийского экономического союза" (Собрание законодательства Российской Федерации, 2018, N 13, ст. 1823).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 </w:t>
      </w:r>
      <w:r>
        <w:rPr>
          <w:sz w:val="24"/>
        </w:rPr>
        <w:t xml:space="preserve">Пункты 3</w:t>
      </w:r>
      <w:r>
        <w:rPr>
          <w:sz w:val="24"/>
        </w:rPr>
        <w:t xml:space="preserve"> и </w:t>
      </w:r>
      <w:r>
        <w:rPr>
          <w:sz w:val="24"/>
        </w:rPr>
        <w:t xml:space="preserve">5</w:t>
      </w:r>
      <w:r>
        <w:rPr>
          <w:sz w:val="24"/>
        </w:rPr>
        <w:t xml:space="preserve"> постановления Правительства Российской Федерации от 25 марта 2020 г. N 333 "О принятии Российской Федерацией поправки к Монреальскому протоколу по веществам, разрушающим озоновый слой" (Собрание законодательства Российской Федерации, 2020, N 13, ст. 1943).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РФ от 18.02.2022 N 206</w:t>
            <w:br/>
            <w:t>(ред. от 01.09.2023)</w:t>
            <w:br/>
            <w:t>"О мерах государственного регулирования потребле...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06.04.2026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<?xml version="1.0" encoding="UTF-8" standalone="yes"?>
<Relationships xmlns="http://schemas.openxmlformats.org/package/2006/relationships">
	<Relationship Id="rId1" Type="http://schemas.openxmlformats.org/officeDocument/2006/relationships/styles" Target="styles.xml"/>
	<Relationship Id="rId2" Type="http://schemas.openxmlformats.org/officeDocument/2006/relationships/image" Target="media/image1.png"/>
	<Relationship Id="rId3" Type="http://schemas.openxmlformats.org/officeDocument/2006/relationships/hyperlink" Target="https://www.consultant.ru" TargetMode = "External"/>
	<Relationship Id="rId4" Type="http://schemas.openxmlformats.org/officeDocument/2006/relationships/hyperlink" Target="https://www.consultant.ru" TargetMode = "External"/>
	<Relationship Id="rId5" Type="http://schemas.openxmlformats.org/officeDocument/2006/relationships/header" Target="header1.xml"/>
	<Relationship Id="rId6" Type="http://schemas.openxmlformats.org/officeDocument/2006/relationships/footer" Target="footer1.xml"/>
</Relationships>
</file>

<file path=word/_rels/foot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18.02.2022 N 206
(ред. от 01.09.2023)
"О мерах государственного регулирования потребления и обращения веществ, разрушающих озоновый слой"</dc:title>
  <dcterms:created xsi:type="dcterms:W3CDTF">2026-04-06T08:22:56Z</dcterms:created>
</cp:coreProperties>
</file>